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5FEA9FCD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5750AC">
        <w:rPr>
          <w:rFonts w:ascii="Arial" w:hAnsi="Arial" w:cs="Arial"/>
          <w:b/>
          <w:sz w:val="24"/>
          <w:szCs w:val="24"/>
        </w:rPr>
        <w:t>c</w:t>
      </w:r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55C383A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  <w:r w:rsidR="00421EFF">
        <w:rPr>
          <w:rFonts w:ascii="Arial" w:hAnsi="Arial" w:cs="Arial"/>
          <w:sz w:val="24"/>
          <w:szCs w:val="24"/>
        </w:rPr>
        <w:t>dla części III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503F3F39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>i poprowadzenia trzech odrębnych, trzydniowych szkoleń pn.: „</w:t>
      </w:r>
      <w:r w:rsidR="005750AC" w:rsidRPr="005750AC">
        <w:rPr>
          <w:rFonts w:ascii="Arial" w:hAnsi="Arial" w:cs="Arial"/>
          <w:sz w:val="24"/>
          <w:szCs w:val="24"/>
        </w:rPr>
        <w:t>Diagnoza rodziny. Tworzenie planu pracy z rodziną oraz planu pomocy dziecku, jako skuteczne narzędzie pracy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24"/>
        <w:gridCol w:w="2646"/>
        <w:gridCol w:w="2727"/>
        <w:gridCol w:w="3320"/>
        <w:gridCol w:w="1510"/>
        <w:gridCol w:w="2329"/>
      </w:tblGrid>
      <w:tr w:rsidR="00C47FF4" w:rsidRPr="00C5311C" w14:paraId="12E9C428" w14:textId="77777777" w:rsidTr="000A1EB0">
        <w:trPr>
          <w:trHeight w:val="68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7B9E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7469E0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99B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2C6F3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14:paraId="1CB3EB2D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51CE6D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Liczba godzin, </w:t>
            </w:r>
          </w:p>
          <w:p w14:paraId="06690477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D0D0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szkoleń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A213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Razem netto</w:t>
            </w:r>
          </w:p>
        </w:tc>
      </w:tr>
      <w:tr w:rsidR="00C47FF4" w:rsidRPr="00C5311C" w14:paraId="5BA4DB9D" w14:textId="77777777" w:rsidTr="000A1EB0">
        <w:trPr>
          <w:trHeight w:val="34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6DF57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2D7E8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1CE2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F6798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60491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49FA0E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ABA95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6=3 x 4x5</w:t>
            </w:r>
          </w:p>
        </w:tc>
      </w:tr>
      <w:tr w:rsidR="00C47FF4" w:rsidRPr="00C5311C" w14:paraId="7FAD225C" w14:textId="77777777" w:rsidTr="000A1EB0">
        <w:trPr>
          <w:trHeight w:val="58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A0F0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0003F" w14:textId="3800F6C8" w:rsidR="00C47FF4" w:rsidRPr="00C5311C" w:rsidRDefault="00C47FF4" w:rsidP="000A1EB0">
            <w:pPr>
              <w:spacing w:after="0"/>
              <w:rPr>
                <w:rFonts w:ascii="Arial" w:hAnsi="Arial" w:cs="Arial"/>
                <w:bCs/>
              </w:rPr>
            </w:pPr>
            <w:r w:rsidRPr="00C47FF4">
              <w:rPr>
                <w:rFonts w:ascii="Arial" w:hAnsi="Arial" w:cs="Arial"/>
                <w:sz w:val="24"/>
                <w:szCs w:val="24"/>
              </w:rPr>
              <w:t>Kompleksowa usługa organizacji i poprowadzenia trzech odrębnych, trzydniowych szkoleń pn.: „Diagnoza rodziny. Tworzenie planu pracy z rodziną oraz planu pomocy dziecku, jako skuteczne narzędzie pracy”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65643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Usługa trenerska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F68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1E04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20 godzin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8A39" w14:textId="0F995454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F79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7D7C5F2D" w14:textId="77777777" w:rsidTr="000A1EB0">
        <w:trPr>
          <w:trHeight w:val="83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C2679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CBDF5" w14:textId="77777777" w:rsidR="00C47FF4" w:rsidRPr="00C5311C" w:rsidRDefault="00C47FF4" w:rsidP="000A1E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03D38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Sala szkoleniowa podczas 3 dni szkolenia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3F53" w14:textId="77777777" w:rsidR="00C47FF4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…………………….. zł </w:t>
            </w:r>
          </w:p>
          <w:p w14:paraId="7FBF0C8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za 1 szkolenie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5F1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4BB9" w14:textId="624D4FC8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4A3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4D38D318" w14:textId="77777777" w:rsidTr="000A1EB0">
        <w:trPr>
          <w:trHeight w:val="8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49DE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A1B1" w14:textId="77777777" w:rsidR="00C47FF4" w:rsidRPr="00C5311C" w:rsidRDefault="00C47FF4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9C72F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Dwa noclegi </w:t>
            </w:r>
          </w:p>
          <w:p w14:paraId="1C0B45A5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ze śniadaniem i kolacją</w:t>
            </w:r>
            <w:r>
              <w:rPr>
                <w:rFonts w:ascii="Arial" w:hAnsi="Arial" w:cs="Arial"/>
                <w:lang w:eastAsia="hi-IN" w:bidi="hi-IN"/>
              </w:rPr>
              <w:t>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902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5A56E1E4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60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6B9D" w14:textId="7B54AC28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D65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5D5F1A21" w14:textId="77777777" w:rsidTr="000A1EB0">
        <w:trPr>
          <w:trHeight w:val="67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70CA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EADD" w14:textId="77777777" w:rsidR="00C47FF4" w:rsidRPr="00C5311C" w:rsidRDefault="00C47FF4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0BF5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Dwie przerwy kawowe ciągłe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9084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06B801FB" w14:textId="38F7BAD8" w:rsidR="00C47FF4" w:rsidRPr="00C5311C" w:rsidRDefault="00C47FF4" w:rsidP="0023589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AE7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CA5" w14:textId="60A34121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85D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098CE057" w14:textId="77777777" w:rsidTr="000A1EB0">
        <w:trPr>
          <w:trHeight w:val="788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A55B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7B670" w14:textId="77777777" w:rsidR="00C47FF4" w:rsidRPr="00C5311C" w:rsidRDefault="00C47FF4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E8F72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Jedna przerwa kawowa jednorazowa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16D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5DED737C" w14:textId="48C66EE4" w:rsidR="00C47FF4" w:rsidRPr="00C5311C" w:rsidRDefault="00C47FF4" w:rsidP="0023589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416C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338" w14:textId="6EC52436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2643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41811019" w14:textId="77777777" w:rsidTr="000A1EB0">
        <w:trPr>
          <w:trHeight w:val="745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710CA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1582" w14:textId="77777777" w:rsidR="00C47FF4" w:rsidRPr="00C5311C" w:rsidRDefault="00C47FF4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20D71" w14:textId="77777777" w:rsidR="00C47FF4" w:rsidRPr="00C5311C" w:rsidRDefault="00C47FF4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Trzy obiady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380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69F95B1B" w14:textId="0E9AB82B" w:rsidR="00C47FF4" w:rsidRPr="00C5311C" w:rsidRDefault="00C47FF4" w:rsidP="0023589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1133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84B5" w14:textId="44C47EC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C98E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C47FF4" w:rsidRPr="00C5311C" w14:paraId="74B9C74D" w14:textId="77777777" w:rsidTr="000A1EB0">
        <w:trPr>
          <w:trHeight w:val="70"/>
          <w:jc w:val="center"/>
        </w:trPr>
        <w:tc>
          <w:tcPr>
            <w:tcW w:w="422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35BD0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Łączna cena netto za całość usługi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EE0B" w14:textId="77777777" w:rsidR="00C47FF4" w:rsidRPr="00C5311C" w:rsidRDefault="00C47FF4" w:rsidP="000A1EB0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14:paraId="5DAFB3B8" w14:textId="77777777" w:rsidR="00F7748B" w:rsidRPr="005750AC" w:rsidRDefault="005F0901" w:rsidP="005F0901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5750AC">
        <w:rPr>
          <w:rFonts w:ascii="Arial" w:eastAsia="Times New Roman" w:hAnsi="Arial" w:cs="Arial"/>
          <w:sz w:val="20"/>
          <w:szCs w:val="20"/>
          <w:lang w:eastAsia="pl-PL"/>
        </w:rPr>
        <w:t xml:space="preserve">nocleg, kolacja i śniadanie będzie zapewnione tylko dla uczestników szkoleń, którzy posiadają miejsce zamieszkania w miejscowości innej niż </w:t>
      </w:r>
      <w:r w:rsidR="00DA6708" w:rsidRPr="005750AC">
        <w:rPr>
          <w:rFonts w:ascii="Arial" w:eastAsia="Times New Roman" w:hAnsi="Arial" w:cs="Arial"/>
          <w:sz w:val="20"/>
          <w:szCs w:val="20"/>
          <w:lang w:eastAsia="pl-PL"/>
        </w:rPr>
        <w:t>miejsce realizacji szkolenia</w:t>
      </w:r>
    </w:p>
    <w:p w14:paraId="388E81FF" w14:textId="4F4CDC1D" w:rsidR="005F0901" w:rsidRDefault="005F0901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52A53441" w14:textId="77777777" w:rsidR="008E52A5" w:rsidRPr="005750AC" w:rsidRDefault="008E52A5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54AB48A" w:rsidR="005F0901" w:rsidRPr="008E52A5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39110772" w14:textId="103741FE" w:rsidR="005F0901" w:rsidRPr="00B56EBE" w:rsidRDefault="005F0901" w:rsidP="004A25E4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lastRenderedPageBreak/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3972" w14:textId="77777777" w:rsidR="00E33480" w:rsidRDefault="00E33480" w:rsidP="00372732">
      <w:pPr>
        <w:spacing w:after="0" w:line="240" w:lineRule="auto"/>
      </w:pPr>
      <w:r>
        <w:separator/>
      </w:r>
    </w:p>
  </w:endnote>
  <w:endnote w:type="continuationSeparator" w:id="0">
    <w:p w14:paraId="396831D4" w14:textId="77777777" w:rsidR="00E33480" w:rsidRDefault="00E33480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77928195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16A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16A4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466ACEDB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4A25E4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704D" w14:textId="77777777" w:rsidR="00E33480" w:rsidRDefault="00E33480" w:rsidP="00372732">
      <w:pPr>
        <w:spacing w:after="0" w:line="240" w:lineRule="auto"/>
      </w:pPr>
      <w:r>
        <w:separator/>
      </w:r>
    </w:p>
  </w:footnote>
  <w:footnote w:type="continuationSeparator" w:id="0">
    <w:p w14:paraId="52E768F2" w14:textId="77777777" w:rsidR="00E33480" w:rsidRDefault="00E33480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5890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1EFF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25E4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460D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17EB7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16A4B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47FF4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876DE-DD13-45BA-B997-4EF02A7E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2025-02-06T08:29:00Z</cp:lastPrinted>
  <dcterms:created xsi:type="dcterms:W3CDTF">2025-02-07T12:04:00Z</dcterms:created>
  <dcterms:modified xsi:type="dcterms:W3CDTF">2025-02-07T12:04:00Z</dcterms:modified>
</cp:coreProperties>
</file>