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E3" w:rsidRPr="000C4CEC" w:rsidRDefault="00C502E3" w:rsidP="00C502E3">
      <w:pPr>
        <w:pStyle w:val="Style17"/>
        <w:shd w:val="clear" w:color="auto" w:fill="auto"/>
        <w:spacing w:after="270" w:line="220" w:lineRule="exact"/>
        <w:ind w:left="1980" w:firstLine="0"/>
        <w:jc w:val="right"/>
        <w:rPr>
          <w:rStyle w:val="CharStyle18"/>
          <w:rFonts w:asciiTheme="majorHAnsi" w:hAnsiTheme="majorHAnsi"/>
          <w:color w:val="000000"/>
        </w:rPr>
      </w:pPr>
      <w:bookmarkStart w:id="0" w:name="bookmark9"/>
      <w:r w:rsidRPr="000C4CEC">
        <w:rPr>
          <w:rStyle w:val="CharStyle18"/>
          <w:rFonts w:asciiTheme="majorHAnsi" w:hAnsiTheme="majorHAnsi"/>
          <w:color w:val="000000"/>
        </w:rPr>
        <w:t xml:space="preserve">Załącznik nr 1 do zapytania ofertowego </w:t>
      </w:r>
    </w:p>
    <w:p w:rsidR="00C502E3" w:rsidRPr="00C502E3" w:rsidRDefault="00C502E3" w:rsidP="00C502E3">
      <w:pPr>
        <w:pStyle w:val="Style17"/>
        <w:shd w:val="clear" w:color="auto" w:fill="auto"/>
        <w:spacing w:after="0" w:line="220" w:lineRule="exact"/>
        <w:ind w:left="1980" w:firstLine="0"/>
        <w:rPr>
          <w:rStyle w:val="CharStyle18"/>
          <w:rFonts w:asciiTheme="majorHAnsi" w:hAnsiTheme="majorHAnsi"/>
          <w:color w:val="000000"/>
          <w:sz w:val="24"/>
          <w:szCs w:val="24"/>
        </w:rPr>
      </w:pPr>
    </w:p>
    <w:p w:rsidR="00C502E3" w:rsidRPr="008F5DAF" w:rsidRDefault="00C502E3" w:rsidP="00C502E3">
      <w:pPr>
        <w:pStyle w:val="Style17"/>
        <w:shd w:val="clear" w:color="auto" w:fill="auto"/>
        <w:spacing w:after="0" w:line="220" w:lineRule="exact"/>
        <w:ind w:left="1980" w:firstLine="0"/>
        <w:rPr>
          <w:rFonts w:asciiTheme="majorHAnsi" w:hAnsiTheme="majorHAnsi"/>
          <w:b w:val="0"/>
          <w:sz w:val="24"/>
          <w:szCs w:val="24"/>
        </w:rPr>
      </w:pPr>
      <w:r w:rsidRPr="008F5DAF">
        <w:rPr>
          <w:rStyle w:val="CharStyle18"/>
          <w:rFonts w:asciiTheme="majorHAnsi" w:hAnsiTheme="majorHAnsi"/>
          <w:b/>
          <w:color w:val="000000"/>
          <w:sz w:val="24"/>
          <w:szCs w:val="24"/>
        </w:rPr>
        <w:t>SZCZEGÓŁOWY OPIS PRZEDMIOTU ZAMÓWIENIA</w:t>
      </w:r>
      <w:bookmarkEnd w:id="0"/>
    </w:p>
    <w:p w:rsidR="00C502E3" w:rsidRPr="00C502E3" w:rsidRDefault="00C502E3" w:rsidP="00C502E3">
      <w:pPr>
        <w:pStyle w:val="Style2"/>
        <w:shd w:val="clear" w:color="auto" w:fill="auto"/>
        <w:spacing w:line="240" w:lineRule="auto"/>
        <w:ind w:left="697" w:firstLine="0"/>
        <w:jc w:val="center"/>
        <w:rPr>
          <w:rStyle w:val="CharStyle7"/>
          <w:rFonts w:asciiTheme="majorHAnsi" w:hAnsiTheme="majorHAnsi"/>
          <w:i/>
          <w:color w:val="000000"/>
          <w:sz w:val="24"/>
          <w:szCs w:val="24"/>
        </w:rPr>
      </w:pPr>
      <w:r>
        <w:rPr>
          <w:rStyle w:val="CharStyle7"/>
          <w:rFonts w:asciiTheme="majorHAnsi" w:hAnsiTheme="majorHAnsi"/>
          <w:i/>
          <w:color w:val="000000"/>
          <w:sz w:val="24"/>
          <w:szCs w:val="24"/>
        </w:rPr>
        <w:t>n</w:t>
      </w:r>
      <w:r w:rsidRPr="00C502E3">
        <w:rPr>
          <w:rStyle w:val="CharStyle7"/>
          <w:rFonts w:asciiTheme="majorHAnsi" w:hAnsiTheme="majorHAnsi"/>
          <w:i/>
          <w:color w:val="000000"/>
          <w:sz w:val="24"/>
          <w:szCs w:val="24"/>
        </w:rPr>
        <w:t>a usługę doradztwa podatkowego w zakresie rozliczenia podatku od towarów i usług na podstawie analizy dokumentów, w świetle obowiązujących przepisów oraz przygotowanie procedur podatkowych.</w:t>
      </w:r>
    </w:p>
    <w:p w:rsidR="00C502E3" w:rsidRPr="00C502E3" w:rsidRDefault="00C502E3" w:rsidP="00C502E3">
      <w:pPr>
        <w:pStyle w:val="Style2"/>
        <w:shd w:val="clear" w:color="auto" w:fill="auto"/>
        <w:spacing w:line="240" w:lineRule="auto"/>
        <w:ind w:left="697" w:firstLine="0"/>
        <w:jc w:val="center"/>
        <w:rPr>
          <w:rStyle w:val="CharStyle7"/>
          <w:rFonts w:asciiTheme="majorHAnsi" w:hAnsiTheme="majorHAnsi"/>
          <w:b/>
          <w:color w:val="000000"/>
          <w:sz w:val="24"/>
          <w:szCs w:val="24"/>
        </w:rPr>
      </w:pPr>
    </w:p>
    <w:p w:rsidR="00C502E3" w:rsidRPr="00C502E3" w:rsidRDefault="00C502E3" w:rsidP="00C502E3">
      <w:pPr>
        <w:pStyle w:val="Style2"/>
        <w:shd w:val="clear" w:color="auto" w:fill="auto"/>
        <w:spacing w:line="360" w:lineRule="auto"/>
        <w:ind w:firstLine="0"/>
        <w:rPr>
          <w:rStyle w:val="CharStyle7"/>
          <w:rFonts w:asciiTheme="majorHAnsi" w:hAnsiTheme="majorHAnsi"/>
          <w:b/>
          <w:color w:val="000000"/>
          <w:sz w:val="24"/>
          <w:szCs w:val="24"/>
        </w:rPr>
      </w:pPr>
      <w:r w:rsidRPr="00C502E3">
        <w:rPr>
          <w:rStyle w:val="CharStyle7"/>
          <w:rFonts w:asciiTheme="majorHAnsi" w:hAnsiTheme="majorHAnsi"/>
          <w:b/>
          <w:color w:val="000000"/>
          <w:sz w:val="24"/>
          <w:szCs w:val="24"/>
        </w:rPr>
        <w:t>I ETAP</w:t>
      </w:r>
    </w:p>
    <w:p w:rsidR="00C502E3" w:rsidRPr="00C502E3" w:rsidRDefault="00C502E3" w:rsidP="00C502E3">
      <w:pPr>
        <w:pStyle w:val="Akapitzlist"/>
        <w:numPr>
          <w:ilvl w:val="0"/>
          <w:numId w:val="2"/>
        </w:numPr>
        <w:ind w:left="1134" w:hanging="567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>Przeprowadzenie audytu w zakresie dokumentowania podatku VAT, mającego na celu przegląd dochodów budżetowych (w tym m. in. umów) osiąganych przez jednostki budżetowe Województwa Warmińsko-Mazurskiego odprowadzanych do budżetu pod ką</w:t>
      </w:r>
      <w:r w:rsidR="007A1D26">
        <w:rPr>
          <w:rFonts w:asciiTheme="majorHAnsi" w:hAnsiTheme="majorHAnsi"/>
          <w:sz w:val="24"/>
          <w:szCs w:val="24"/>
        </w:rPr>
        <w:t xml:space="preserve">tem opodatkowania podatkiem VAT, na podstawie </w:t>
      </w:r>
      <w:r w:rsidR="00600333">
        <w:rPr>
          <w:rFonts w:asciiTheme="majorHAnsi" w:hAnsiTheme="majorHAnsi"/>
          <w:sz w:val="24"/>
          <w:szCs w:val="24"/>
        </w:rPr>
        <w:t>przedłożonych</w:t>
      </w:r>
      <w:r w:rsidR="007A1D26">
        <w:rPr>
          <w:rFonts w:asciiTheme="majorHAnsi" w:hAnsiTheme="majorHAnsi"/>
          <w:sz w:val="24"/>
          <w:szCs w:val="24"/>
        </w:rPr>
        <w:t xml:space="preserve"> dokumentów źródłowych</w:t>
      </w:r>
      <w:r w:rsidR="00600333">
        <w:rPr>
          <w:rFonts w:asciiTheme="majorHAnsi" w:hAnsiTheme="majorHAnsi"/>
          <w:sz w:val="24"/>
          <w:szCs w:val="24"/>
        </w:rPr>
        <w:t>.</w:t>
      </w:r>
      <w:r w:rsidRPr="00C502E3">
        <w:rPr>
          <w:rFonts w:asciiTheme="majorHAnsi" w:hAnsiTheme="majorHAnsi"/>
          <w:sz w:val="24"/>
          <w:szCs w:val="24"/>
        </w:rPr>
        <w:t xml:space="preserve">  </w:t>
      </w:r>
    </w:p>
    <w:p w:rsidR="00C502E3" w:rsidRDefault="00C502E3" w:rsidP="00C502E3">
      <w:pPr>
        <w:pStyle w:val="Akapitzlist"/>
        <w:ind w:left="1134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>W jednostkach budżetowych będących czynnymi podatnikami VAT  audyt dotyczy roku 2015 i 2016 natomiast w jednostkach niebędących czynnymi podatnikami VAT audyt dotyczy roku 2016.</w:t>
      </w:r>
    </w:p>
    <w:p w:rsidR="00C502E3" w:rsidRDefault="007A1D26" w:rsidP="007A1D26">
      <w:pPr>
        <w:pStyle w:val="Akapitzlist"/>
        <w:ind w:left="113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Wykaz jednostek budżetowych</w:t>
      </w:r>
      <w:r w:rsidR="00B055A3">
        <w:rPr>
          <w:rFonts w:asciiTheme="majorHAnsi" w:hAnsiTheme="majorHAnsi"/>
          <w:sz w:val="24"/>
          <w:szCs w:val="24"/>
        </w:rPr>
        <w:t xml:space="preserve"> wraz ze wskazaniem czynnych podatników VAT</w:t>
      </w:r>
      <w:r>
        <w:rPr>
          <w:rFonts w:asciiTheme="majorHAnsi" w:hAnsiTheme="majorHAnsi"/>
          <w:sz w:val="24"/>
          <w:szCs w:val="24"/>
        </w:rPr>
        <w:t xml:space="preserve"> stanowi załącznik nr 2 do zapytania ofertowego</w:t>
      </w:r>
      <w:r w:rsidR="00B055A3">
        <w:rPr>
          <w:rFonts w:asciiTheme="majorHAnsi" w:hAnsiTheme="majorHAnsi"/>
          <w:sz w:val="24"/>
          <w:szCs w:val="24"/>
        </w:rPr>
        <w:t>.</w:t>
      </w:r>
      <w:r w:rsidR="00600333">
        <w:rPr>
          <w:rFonts w:asciiTheme="majorHAnsi" w:hAnsiTheme="majorHAnsi"/>
          <w:sz w:val="24"/>
          <w:szCs w:val="24"/>
        </w:rPr>
        <w:t xml:space="preserve"> </w:t>
      </w:r>
    </w:p>
    <w:p w:rsidR="007A1D26" w:rsidRPr="007A1D26" w:rsidRDefault="007A1D26" w:rsidP="007A1D26">
      <w:pPr>
        <w:pStyle w:val="Akapitzlist"/>
        <w:spacing w:line="240" w:lineRule="auto"/>
        <w:ind w:left="1134"/>
        <w:rPr>
          <w:rFonts w:asciiTheme="majorHAnsi" w:hAnsiTheme="majorHAnsi"/>
          <w:sz w:val="12"/>
          <w:szCs w:val="12"/>
        </w:rPr>
      </w:pPr>
    </w:p>
    <w:p w:rsidR="00C502E3" w:rsidRDefault="00C502E3" w:rsidP="007A1D26">
      <w:pPr>
        <w:pStyle w:val="Akapitzlist"/>
        <w:numPr>
          <w:ilvl w:val="0"/>
          <w:numId w:val="2"/>
        </w:numPr>
        <w:ind w:left="1134" w:hanging="567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>Skatalogowanie objętych audytem dochodów na dochody: niepodlegające VAT</w:t>
      </w:r>
      <w:r w:rsidR="007A1D26">
        <w:rPr>
          <w:rFonts w:asciiTheme="majorHAnsi" w:hAnsiTheme="majorHAnsi"/>
          <w:sz w:val="24"/>
          <w:szCs w:val="24"/>
        </w:rPr>
        <w:t xml:space="preserve"> (dotyczące działalności statutowej)</w:t>
      </w:r>
      <w:r w:rsidRPr="00C502E3">
        <w:rPr>
          <w:rFonts w:asciiTheme="majorHAnsi" w:hAnsiTheme="majorHAnsi"/>
          <w:sz w:val="24"/>
          <w:szCs w:val="24"/>
        </w:rPr>
        <w:t>, zwolnione z VAT oraz opodatkowane wg poszczególnych stawek obowiązujących w bieżącym okresie.</w:t>
      </w:r>
    </w:p>
    <w:p w:rsidR="007A1D26" w:rsidRPr="007A1D26" w:rsidRDefault="007A1D26" w:rsidP="007A1D26">
      <w:pPr>
        <w:pStyle w:val="Akapitzlist"/>
        <w:spacing w:line="240" w:lineRule="auto"/>
        <w:ind w:left="1134"/>
        <w:rPr>
          <w:rFonts w:asciiTheme="majorHAnsi" w:hAnsiTheme="majorHAnsi"/>
          <w:sz w:val="12"/>
          <w:szCs w:val="12"/>
        </w:rPr>
      </w:pPr>
    </w:p>
    <w:p w:rsidR="00C502E3" w:rsidRDefault="00C502E3" w:rsidP="00C502E3">
      <w:pPr>
        <w:pStyle w:val="Akapitzlist"/>
        <w:numPr>
          <w:ilvl w:val="0"/>
          <w:numId w:val="2"/>
        </w:numPr>
        <w:ind w:left="1134" w:hanging="567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>Przeprowadzenie audytu zrealizowanych wydatków</w:t>
      </w:r>
      <w:r w:rsidR="007A1D26">
        <w:rPr>
          <w:rFonts w:asciiTheme="majorHAnsi" w:hAnsiTheme="majorHAnsi"/>
          <w:sz w:val="24"/>
          <w:szCs w:val="24"/>
        </w:rPr>
        <w:t xml:space="preserve"> i poniesionych kosztów</w:t>
      </w:r>
      <w:r w:rsidRPr="00C502E3">
        <w:rPr>
          <w:rFonts w:asciiTheme="majorHAnsi" w:hAnsiTheme="majorHAnsi"/>
          <w:sz w:val="24"/>
          <w:szCs w:val="24"/>
        </w:rPr>
        <w:t xml:space="preserve"> roku 2016 Urzędu Marszałkowskiego</w:t>
      </w:r>
      <w:r w:rsidR="00A54863">
        <w:rPr>
          <w:rFonts w:asciiTheme="majorHAnsi" w:hAnsiTheme="majorHAnsi"/>
          <w:sz w:val="24"/>
          <w:szCs w:val="24"/>
        </w:rPr>
        <w:t>, na podstawie dokumentów źródłowych</w:t>
      </w:r>
      <w:r w:rsidRPr="00C502E3">
        <w:rPr>
          <w:rFonts w:asciiTheme="majorHAnsi" w:hAnsiTheme="majorHAnsi"/>
          <w:sz w:val="24"/>
          <w:szCs w:val="24"/>
        </w:rPr>
        <w:t xml:space="preserve"> oraz ich skatalogowanie z podziałem na wydatki: dotyczące działalności statutowej, działalności gospodarczej, działalności mieszanej.</w:t>
      </w:r>
    </w:p>
    <w:p w:rsidR="007A1D26" w:rsidRPr="007A1D26" w:rsidRDefault="007A1D26" w:rsidP="007A1D26">
      <w:pPr>
        <w:pStyle w:val="Akapitzlist"/>
        <w:spacing w:line="240" w:lineRule="auto"/>
        <w:ind w:left="1134"/>
        <w:rPr>
          <w:rFonts w:asciiTheme="majorHAnsi" w:hAnsiTheme="majorHAnsi"/>
          <w:sz w:val="12"/>
          <w:szCs w:val="12"/>
        </w:rPr>
      </w:pPr>
    </w:p>
    <w:p w:rsidR="00C502E3" w:rsidRPr="00C502E3" w:rsidRDefault="00C502E3" w:rsidP="00C502E3">
      <w:pPr>
        <w:pStyle w:val="Akapitzlist"/>
        <w:numPr>
          <w:ilvl w:val="0"/>
          <w:numId w:val="2"/>
        </w:numPr>
        <w:ind w:left="1134" w:hanging="567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>Szczegółowa analiza dokumentów dotyczących:</w:t>
      </w:r>
    </w:p>
    <w:p w:rsidR="00C502E3" w:rsidRPr="00C502E3" w:rsidRDefault="00C502E3" w:rsidP="0037356F">
      <w:pPr>
        <w:pStyle w:val="Akapitzlist"/>
        <w:numPr>
          <w:ilvl w:val="0"/>
          <w:numId w:val="3"/>
        </w:numPr>
        <w:ind w:left="1134" w:firstLine="0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>zakupu, utrzymania i sprzedaży środków trwałych w tym środków transportu ,</w:t>
      </w:r>
    </w:p>
    <w:p w:rsidR="00C502E3" w:rsidRPr="00C502E3" w:rsidRDefault="00C502E3" w:rsidP="00C502E3">
      <w:pPr>
        <w:pStyle w:val="Akapitzlist"/>
        <w:numPr>
          <w:ilvl w:val="0"/>
          <w:numId w:val="3"/>
        </w:numPr>
        <w:ind w:left="1134" w:firstLine="0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>zakupu usług dzierżawy i „mediów” oraz ich refakturowanie (określenie stawki VAT).</w:t>
      </w:r>
    </w:p>
    <w:p w:rsidR="00C502E3" w:rsidRDefault="00C502E3" w:rsidP="007A1D26">
      <w:pPr>
        <w:pStyle w:val="Akapitzlist"/>
        <w:spacing w:line="240" w:lineRule="auto"/>
        <w:ind w:left="1134"/>
        <w:rPr>
          <w:rFonts w:asciiTheme="majorHAnsi" w:hAnsiTheme="majorHAnsi"/>
          <w:sz w:val="12"/>
          <w:szCs w:val="12"/>
        </w:rPr>
      </w:pPr>
    </w:p>
    <w:p w:rsidR="004A4B7D" w:rsidRPr="007F3EE2" w:rsidRDefault="007A1D26" w:rsidP="007F3EE2">
      <w:pPr>
        <w:pStyle w:val="Akapitzlist"/>
        <w:spacing w:line="240" w:lineRule="auto"/>
        <w:ind w:left="1134"/>
        <w:rPr>
          <w:rFonts w:asciiTheme="majorHAnsi" w:hAnsiTheme="majorHAnsi"/>
          <w:i/>
          <w:sz w:val="24"/>
          <w:szCs w:val="24"/>
        </w:rPr>
      </w:pPr>
      <w:r w:rsidRPr="007F3EE2">
        <w:rPr>
          <w:rFonts w:asciiTheme="majorHAnsi" w:hAnsiTheme="majorHAnsi"/>
          <w:i/>
          <w:sz w:val="24"/>
          <w:szCs w:val="24"/>
        </w:rPr>
        <w:t>Szczegółowy zakres prac ujętych w ust. 1-4 winien być</w:t>
      </w:r>
      <w:r w:rsidR="00C85742" w:rsidRPr="007F3EE2">
        <w:rPr>
          <w:rFonts w:asciiTheme="majorHAnsi" w:hAnsiTheme="majorHAnsi"/>
          <w:i/>
          <w:sz w:val="24"/>
          <w:szCs w:val="24"/>
        </w:rPr>
        <w:t xml:space="preserve"> uzgodniony</w:t>
      </w:r>
      <w:r w:rsidR="00600333">
        <w:rPr>
          <w:rFonts w:asciiTheme="majorHAnsi" w:hAnsiTheme="majorHAnsi"/>
          <w:i/>
          <w:sz w:val="24"/>
          <w:szCs w:val="24"/>
        </w:rPr>
        <w:t xml:space="preserve"> z kierownikiem Biura Księgowości Jednostki Budżetowej i Biura Funduszy Strukturalnych w zakresie realizowanych zadań oraz</w:t>
      </w:r>
      <w:r w:rsidRPr="007F3EE2">
        <w:rPr>
          <w:rFonts w:asciiTheme="majorHAnsi" w:hAnsiTheme="majorHAnsi"/>
          <w:i/>
          <w:sz w:val="24"/>
          <w:szCs w:val="24"/>
        </w:rPr>
        <w:t xml:space="preserve"> zaakceptowany przez </w:t>
      </w:r>
      <w:r w:rsidR="00C85742" w:rsidRPr="007F3EE2">
        <w:rPr>
          <w:rFonts w:asciiTheme="majorHAnsi" w:hAnsiTheme="majorHAnsi"/>
          <w:i/>
          <w:sz w:val="24"/>
          <w:szCs w:val="24"/>
        </w:rPr>
        <w:t>Skarbnika Województwa. Potwierdzeniem w</w:t>
      </w:r>
      <w:r w:rsidRPr="007F3EE2">
        <w:rPr>
          <w:rFonts w:asciiTheme="majorHAnsi" w:hAnsiTheme="majorHAnsi"/>
          <w:i/>
          <w:sz w:val="24"/>
          <w:szCs w:val="24"/>
        </w:rPr>
        <w:t>ykonani</w:t>
      </w:r>
      <w:r w:rsidR="00C85742" w:rsidRPr="007F3EE2">
        <w:rPr>
          <w:rFonts w:asciiTheme="majorHAnsi" w:hAnsiTheme="majorHAnsi"/>
          <w:i/>
          <w:sz w:val="24"/>
          <w:szCs w:val="24"/>
        </w:rPr>
        <w:t>a</w:t>
      </w:r>
      <w:r w:rsidRPr="007F3EE2">
        <w:rPr>
          <w:rFonts w:asciiTheme="majorHAnsi" w:hAnsiTheme="majorHAnsi"/>
          <w:i/>
          <w:sz w:val="24"/>
          <w:szCs w:val="24"/>
        </w:rPr>
        <w:t xml:space="preserve"> </w:t>
      </w:r>
      <w:r w:rsidR="00C85742" w:rsidRPr="007F3EE2">
        <w:rPr>
          <w:rFonts w:asciiTheme="majorHAnsi" w:hAnsiTheme="majorHAnsi"/>
          <w:i/>
          <w:sz w:val="24"/>
          <w:szCs w:val="24"/>
        </w:rPr>
        <w:t xml:space="preserve">będzie zestawienie wykonanych prac </w:t>
      </w:r>
      <w:r w:rsidRPr="007F3EE2">
        <w:rPr>
          <w:rFonts w:asciiTheme="majorHAnsi" w:hAnsiTheme="majorHAnsi"/>
          <w:i/>
          <w:sz w:val="24"/>
          <w:szCs w:val="24"/>
        </w:rPr>
        <w:t xml:space="preserve">potwierdzone przez </w:t>
      </w:r>
      <w:r w:rsidR="00C85742" w:rsidRPr="007F3EE2">
        <w:rPr>
          <w:rFonts w:asciiTheme="majorHAnsi" w:hAnsiTheme="majorHAnsi"/>
          <w:i/>
          <w:sz w:val="24"/>
          <w:szCs w:val="24"/>
        </w:rPr>
        <w:t>K</w:t>
      </w:r>
      <w:r w:rsidRPr="007F3EE2">
        <w:rPr>
          <w:rFonts w:asciiTheme="majorHAnsi" w:hAnsiTheme="majorHAnsi"/>
          <w:i/>
          <w:sz w:val="24"/>
          <w:szCs w:val="24"/>
        </w:rPr>
        <w:t>ierownik</w:t>
      </w:r>
      <w:r w:rsidR="007F3EE2" w:rsidRPr="007F3EE2">
        <w:rPr>
          <w:rFonts w:asciiTheme="majorHAnsi" w:hAnsiTheme="majorHAnsi"/>
          <w:i/>
          <w:sz w:val="24"/>
          <w:szCs w:val="24"/>
        </w:rPr>
        <w:t>a</w:t>
      </w:r>
      <w:r w:rsidR="00C85742" w:rsidRPr="007F3EE2">
        <w:rPr>
          <w:rFonts w:asciiTheme="majorHAnsi" w:hAnsiTheme="majorHAnsi"/>
          <w:i/>
          <w:sz w:val="24"/>
          <w:szCs w:val="24"/>
        </w:rPr>
        <w:t xml:space="preserve"> Biura Księgowości Jednostki Budżetowej</w:t>
      </w:r>
      <w:r w:rsidR="007F3EE2" w:rsidRPr="007F3EE2">
        <w:rPr>
          <w:rFonts w:asciiTheme="majorHAnsi" w:hAnsiTheme="majorHAnsi"/>
          <w:i/>
          <w:sz w:val="24"/>
          <w:szCs w:val="24"/>
        </w:rPr>
        <w:t xml:space="preserve"> dla środków z 4 cyfrą  klasyfikacji budżetowej § 0-6</w:t>
      </w:r>
      <w:r w:rsidR="00C85742" w:rsidRPr="007F3EE2">
        <w:rPr>
          <w:rFonts w:asciiTheme="majorHAnsi" w:hAnsiTheme="majorHAnsi"/>
          <w:i/>
          <w:sz w:val="24"/>
          <w:szCs w:val="24"/>
        </w:rPr>
        <w:t xml:space="preserve"> i</w:t>
      </w:r>
      <w:r w:rsidR="007F3EE2">
        <w:rPr>
          <w:rFonts w:asciiTheme="majorHAnsi" w:hAnsiTheme="majorHAnsi"/>
          <w:i/>
          <w:sz w:val="24"/>
          <w:szCs w:val="24"/>
        </w:rPr>
        <w:t xml:space="preserve"> Kierownika</w:t>
      </w:r>
      <w:r w:rsidR="00C85742" w:rsidRPr="007F3EE2">
        <w:rPr>
          <w:rFonts w:asciiTheme="majorHAnsi" w:hAnsiTheme="majorHAnsi"/>
          <w:i/>
          <w:sz w:val="24"/>
          <w:szCs w:val="24"/>
        </w:rPr>
        <w:t xml:space="preserve"> Biura Funduszy Strukturalnych</w:t>
      </w:r>
      <w:r w:rsidR="007F3EE2" w:rsidRPr="007F3EE2">
        <w:rPr>
          <w:rFonts w:asciiTheme="majorHAnsi" w:hAnsiTheme="majorHAnsi"/>
          <w:i/>
          <w:sz w:val="24"/>
          <w:szCs w:val="24"/>
        </w:rPr>
        <w:t xml:space="preserve"> dla środków z 4 cyfrą  klasyfikacji budżetowej § </w:t>
      </w:r>
      <w:r w:rsidR="007F3EE2">
        <w:rPr>
          <w:rFonts w:asciiTheme="majorHAnsi" w:hAnsiTheme="majorHAnsi"/>
          <w:i/>
          <w:sz w:val="24"/>
          <w:szCs w:val="24"/>
        </w:rPr>
        <w:t>7-9.</w:t>
      </w:r>
    </w:p>
    <w:p w:rsidR="007A1D26" w:rsidRPr="001C30EF" w:rsidRDefault="004A4B7D" w:rsidP="007F3EE2">
      <w:pPr>
        <w:pStyle w:val="Akapitzlist"/>
        <w:spacing w:line="240" w:lineRule="auto"/>
        <w:ind w:left="1134"/>
        <w:rPr>
          <w:rFonts w:asciiTheme="majorHAnsi" w:hAnsiTheme="majorHAnsi"/>
          <w:sz w:val="12"/>
          <w:szCs w:val="12"/>
        </w:rPr>
      </w:pPr>
      <w:r>
        <w:rPr>
          <w:rFonts w:asciiTheme="majorHAnsi" w:hAnsiTheme="majorHAnsi"/>
          <w:sz w:val="24"/>
          <w:szCs w:val="24"/>
        </w:rPr>
        <w:t xml:space="preserve"> </w:t>
      </w:r>
    </w:p>
    <w:p w:rsidR="00C502E3" w:rsidRDefault="00600333" w:rsidP="00C502E3">
      <w:pPr>
        <w:pStyle w:val="Akapitzlist"/>
        <w:numPr>
          <w:ilvl w:val="0"/>
          <w:numId w:val="2"/>
        </w:numPr>
        <w:ind w:left="1134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Sporządzenie r</w:t>
      </w:r>
      <w:r w:rsidR="00C502E3" w:rsidRPr="00C502E3">
        <w:rPr>
          <w:rFonts w:asciiTheme="majorHAnsi" w:hAnsiTheme="majorHAnsi"/>
          <w:sz w:val="24"/>
          <w:szCs w:val="24"/>
        </w:rPr>
        <w:t>aport</w:t>
      </w:r>
      <w:r w:rsidR="009B3ED8">
        <w:rPr>
          <w:rFonts w:asciiTheme="majorHAnsi" w:hAnsiTheme="majorHAnsi"/>
          <w:sz w:val="24"/>
          <w:szCs w:val="24"/>
        </w:rPr>
        <w:t>u</w:t>
      </w:r>
      <w:r w:rsidR="00C502E3" w:rsidRPr="00C502E3">
        <w:rPr>
          <w:rFonts w:asciiTheme="majorHAnsi" w:hAnsiTheme="majorHAnsi"/>
          <w:sz w:val="24"/>
          <w:szCs w:val="24"/>
        </w:rPr>
        <w:t xml:space="preserve"> podsumowując</w:t>
      </w:r>
      <w:r>
        <w:rPr>
          <w:rFonts w:asciiTheme="majorHAnsi" w:hAnsiTheme="majorHAnsi"/>
          <w:sz w:val="24"/>
          <w:szCs w:val="24"/>
        </w:rPr>
        <w:t xml:space="preserve">ego </w:t>
      </w:r>
      <w:r w:rsidR="00C502E3" w:rsidRPr="00C502E3">
        <w:rPr>
          <w:rFonts w:asciiTheme="majorHAnsi" w:hAnsiTheme="majorHAnsi"/>
          <w:sz w:val="24"/>
          <w:szCs w:val="24"/>
        </w:rPr>
        <w:t>audyt</w:t>
      </w:r>
      <w:r w:rsidR="004A4B7D">
        <w:rPr>
          <w:rFonts w:asciiTheme="majorHAnsi" w:hAnsiTheme="majorHAnsi"/>
          <w:sz w:val="24"/>
          <w:szCs w:val="24"/>
        </w:rPr>
        <w:t xml:space="preserve"> w formie pisemnej oraz jego o</w:t>
      </w:r>
      <w:r w:rsidR="00C502E3" w:rsidRPr="00C502E3">
        <w:rPr>
          <w:rFonts w:asciiTheme="majorHAnsi" w:hAnsiTheme="majorHAnsi"/>
          <w:sz w:val="24"/>
          <w:szCs w:val="24"/>
        </w:rPr>
        <w:t xml:space="preserve">mówienie z </w:t>
      </w:r>
      <w:r w:rsidR="004A4B7D">
        <w:rPr>
          <w:rFonts w:asciiTheme="majorHAnsi" w:hAnsiTheme="majorHAnsi"/>
          <w:sz w:val="24"/>
          <w:szCs w:val="24"/>
        </w:rPr>
        <w:t>przedstawicielami Zamawiającego (k</w:t>
      </w:r>
      <w:r w:rsidR="00C502E3" w:rsidRPr="00C502E3">
        <w:rPr>
          <w:rFonts w:asciiTheme="majorHAnsi" w:hAnsiTheme="majorHAnsi"/>
          <w:sz w:val="24"/>
          <w:szCs w:val="24"/>
        </w:rPr>
        <w:t xml:space="preserve">walifikacja osiąganych dochodów  zakresie podatku VAT </w:t>
      </w:r>
      <w:r w:rsidR="004A4B7D">
        <w:rPr>
          <w:rFonts w:asciiTheme="majorHAnsi" w:hAnsiTheme="majorHAnsi"/>
          <w:sz w:val="24"/>
          <w:szCs w:val="24"/>
        </w:rPr>
        <w:t>oraz ich powiązanie z wydatkami</w:t>
      </w:r>
      <w:r w:rsidR="007F3EE2">
        <w:rPr>
          <w:rFonts w:asciiTheme="majorHAnsi" w:hAnsiTheme="majorHAnsi"/>
          <w:sz w:val="24"/>
          <w:szCs w:val="24"/>
        </w:rPr>
        <w:t xml:space="preserve"> za </w:t>
      </w:r>
      <w:r w:rsidR="007F3EE2">
        <w:rPr>
          <w:rFonts w:asciiTheme="majorHAnsi" w:hAnsiTheme="majorHAnsi"/>
          <w:sz w:val="24"/>
          <w:szCs w:val="24"/>
        </w:rPr>
        <w:lastRenderedPageBreak/>
        <w:t>badany okres</w:t>
      </w:r>
      <w:r w:rsidR="004A4B7D">
        <w:rPr>
          <w:rFonts w:asciiTheme="majorHAnsi" w:hAnsiTheme="majorHAnsi"/>
          <w:sz w:val="24"/>
          <w:szCs w:val="24"/>
        </w:rPr>
        <w:t>).</w:t>
      </w:r>
      <w:r w:rsidR="00C502E3" w:rsidRPr="00C502E3">
        <w:rPr>
          <w:rFonts w:asciiTheme="majorHAnsi" w:hAnsiTheme="majorHAnsi"/>
          <w:sz w:val="24"/>
          <w:szCs w:val="24"/>
        </w:rPr>
        <w:t xml:space="preserve"> Zamawiający zapewnia salę i projektor</w:t>
      </w:r>
      <w:r>
        <w:rPr>
          <w:rFonts w:asciiTheme="majorHAnsi" w:hAnsiTheme="majorHAnsi"/>
          <w:sz w:val="24"/>
          <w:szCs w:val="24"/>
        </w:rPr>
        <w:t xml:space="preserve"> niezbędne do omówienia raportu</w:t>
      </w:r>
      <w:r w:rsidR="00C502E3" w:rsidRPr="00C502E3">
        <w:rPr>
          <w:rFonts w:asciiTheme="majorHAnsi" w:hAnsiTheme="majorHAnsi"/>
          <w:sz w:val="24"/>
          <w:szCs w:val="24"/>
        </w:rPr>
        <w:t>.</w:t>
      </w:r>
    </w:p>
    <w:p w:rsidR="001C30EF" w:rsidRDefault="001C30EF" w:rsidP="001C30EF">
      <w:pPr>
        <w:rPr>
          <w:rFonts w:asciiTheme="majorHAnsi" w:hAnsiTheme="majorHAnsi"/>
        </w:rPr>
      </w:pPr>
    </w:p>
    <w:p w:rsidR="001C30EF" w:rsidRPr="001C30EF" w:rsidRDefault="001C30EF" w:rsidP="001C30EF">
      <w:pPr>
        <w:rPr>
          <w:rFonts w:asciiTheme="majorHAnsi" w:hAnsiTheme="majorHAnsi"/>
        </w:rPr>
      </w:pPr>
    </w:p>
    <w:p w:rsidR="00C502E3" w:rsidRPr="001C30EF" w:rsidRDefault="00C502E3" w:rsidP="00C502E3">
      <w:pPr>
        <w:rPr>
          <w:rFonts w:asciiTheme="majorHAnsi" w:hAnsiTheme="majorHAnsi"/>
          <w:sz w:val="12"/>
          <w:szCs w:val="12"/>
        </w:rPr>
      </w:pPr>
    </w:p>
    <w:p w:rsidR="00C502E3" w:rsidRPr="00C502E3" w:rsidRDefault="00C502E3" w:rsidP="00C502E3">
      <w:pPr>
        <w:pStyle w:val="Akapitzlist"/>
        <w:numPr>
          <w:ilvl w:val="0"/>
          <w:numId w:val="2"/>
        </w:numPr>
        <w:ind w:left="1134" w:hanging="567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>Przygotowanie procedur podatkowych zamawiającemu w zakresie:</w:t>
      </w:r>
    </w:p>
    <w:p w:rsidR="00C502E3" w:rsidRPr="00C502E3" w:rsidRDefault="00C502E3" w:rsidP="00C502E3">
      <w:pPr>
        <w:pStyle w:val="Akapitzlist"/>
        <w:numPr>
          <w:ilvl w:val="0"/>
          <w:numId w:val="4"/>
        </w:numPr>
        <w:ind w:left="1418" w:hanging="284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>instrukcji kwalifikowania dokumentów zakupowych dla celów VAT z uwzględnieniem rozliczenia VAT naliczonego od zakupów przy zastosowaniu współczynnika</w:t>
      </w:r>
      <w:r w:rsidR="0037356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C502E3">
        <w:rPr>
          <w:rFonts w:asciiTheme="majorHAnsi" w:hAnsiTheme="majorHAnsi"/>
          <w:sz w:val="24"/>
          <w:szCs w:val="24"/>
        </w:rPr>
        <w:t>pre-wspóczynnika</w:t>
      </w:r>
      <w:proofErr w:type="spellEnd"/>
      <w:r w:rsidR="0037356F">
        <w:rPr>
          <w:rFonts w:asciiTheme="majorHAnsi" w:hAnsiTheme="majorHAnsi"/>
          <w:sz w:val="24"/>
          <w:szCs w:val="24"/>
        </w:rPr>
        <w:t xml:space="preserve"> albo współczynnika i </w:t>
      </w:r>
      <w:proofErr w:type="spellStart"/>
      <w:r w:rsidR="0037356F">
        <w:rPr>
          <w:rFonts w:asciiTheme="majorHAnsi" w:hAnsiTheme="majorHAnsi"/>
          <w:sz w:val="24"/>
          <w:szCs w:val="24"/>
        </w:rPr>
        <w:t>pre-współczynnika</w:t>
      </w:r>
      <w:proofErr w:type="spellEnd"/>
      <w:r w:rsidR="0037356F">
        <w:rPr>
          <w:rFonts w:asciiTheme="majorHAnsi" w:hAnsiTheme="majorHAnsi"/>
          <w:sz w:val="24"/>
          <w:szCs w:val="24"/>
        </w:rPr>
        <w:t xml:space="preserve"> </w:t>
      </w:r>
      <w:r w:rsidRPr="00C502E3">
        <w:rPr>
          <w:rFonts w:asciiTheme="majorHAnsi" w:hAnsiTheme="majorHAnsi"/>
          <w:sz w:val="24"/>
          <w:szCs w:val="24"/>
        </w:rPr>
        <w:t xml:space="preserve"> zgodnie z obowiązującymi przepisami,</w:t>
      </w:r>
    </w:p>
    <w:p w:rsidR="00C502E3" w:rsidRPr="00C502E3" w:rsidRDefault="00C502E3" w:rsidP="00C502E3">
      <w:pPr>
        <w:pStyle w:val="Akapitzlist"/>
        <w:numPr>
          <w:ilvl w:val="0"/>
          <w:numId w:val="4"/>
        </w:numPr>
        <w:ind w:left="1418" w:hanging="284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 xml:space="preserve">instrukcji dekretacji i opisów faktur zakupowych pozwalających na właściwą kwalifikację podatkową dokonanych zakupów oraz łatwą weryfikację zakupów, dla których przyporządkowano odliczenie z zastosowaniem współczynnika, </w:t>
      </w:r>
      <w:proofErr w:type="spellStart"/>
      <w:r w:rsidRPr="00C502E3">
        <w:rPr>
          <w:rFonts w:asciiTheme="majorHAnsi" w:hAnsiTheme="majorHAnsi"/>
          <w:sz w:val="24"/>
          <w:szCs w:val="24"/>
        </w:rPr>
        <w:t>pre-współczynnika</w:t>
      </w:r>
      <w:proofErr w:type="spellEnd"/>
      <w:r w:rsidRPr="00C502E3">
        <w:rPr>
          <w:rFonts w:asciiTheme="majorHAnsi" w:hAnsiTheme="majorHAnsi"/>
          <w:sz w:val="24"/>
          <w:szCs w:val="24"/>
        </w:rPr>
        <w:t xml:space="preserve"> albo </w:t>
      </w:r>
      <w:proofErr w:type="spellStart"/>
      <w:r w:rsidRPr="00C502E3">
        <w:rPr>
          <w:rFonts w:asciiTheme="majorHAnsi" w:hAnsiTheme="majorHAnsi"/>
          <w:sz w:val="24"/>
          <w:szCs w:val="24"/>
        </w:rPr>
        <w:t>pre-współczynnika</w:t>
      </w:r>
      <w:proofErr w:type="spellEnd"/>
      <w:r w:rsidRPr="00C502E3">
        <w:rPr>
          <w:rFonts w:asciiTheme="majorHAnsi" w:hAnsiTheme="majorHAnsi"/>
          <w:sz w:val="24"/>
          <w:szCs w:val="24"/>
        </w:rPr>
        <w:t xml:space="preserve"> i współczynnika.</w:t>
      </w:r>
    </w:p>
    <w:p w:rsidR="00C502E3" w:rsidRPr="00C502E3" w:rsidRDefault="00C502E3" w:rsidP="00C502E3">
      <w:pPr>
        <w:pStyle w:val="Akapitzlist"/>
        <w:numPr>
          <w:ilvl w:val="0"/>
          <w:numId w:val="4"/>
        </w:numPr>
        <w:ind w:left="1418" w:hanging="284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 xml:space="preserve">instrukcji dotyczącej kontroli formalno-rachunkowej cząstkowych rejestrów, deklaracji i </w:t>
      </w:r>
      <w:proofErr w:type="spellStart"/>
      <w:r w:rsidRPr="00C502E3">
        <w:rPr>
          <w:rFonts w:asciiTheme="majorHAnsi" w:hAnsiTheme="majorHAnsi"/>
          <w:sz w:val="24"/>
          <w:szCs w:val="24"/>
        </w:rPr>
        <w:t>JPK</w:t>
      </w:r>
      <w:r w:rsidR="0037356F">
        <w:rPr>
          <w:rFonts w:asciiTheme="majorHAnsi" w:hAnsiTheme="majorHAnsi"/>
          <w:sz w:val="24"/>
          <w:szCs w:val="24"/>
        </w:rPr>
        <w:t>-VAT</w:t>
      </w:r>
      <w:proofErr w:type="spellEnd"/>
      <w:r w:rsidR="0037356F">
        <w:rPr>
          <w:rFonts w:asciiTheme="majorHAnsi" w:hAnsiTheme="majorHAnsi"/>
          <w:sz w:val="24"/>
          <w:szCs w:val="24"/>
        </w:rPr>
        <w:t xml:space="preserve"> </w:t>
      </w:r>
      <w:r w:rsidRPr="00C502E3">
        <w:rPr>
          <w:rFonts w:asciiTheme="majorHAnsi" w:hAnsiTheme="majorHAnsi"/>
          <w:sz w:val="24"/>
          <w:szCs w:val="24"/>
        </w:rPr>
        <w:t>przygotowywanych przez jednostki budżetowe.</w:t>
      </w:r>
    </w:p>
    <w:p w:rsidR="004A4B7D" w:rsidRPr="001C30EF" w:rsidRDefault="004A4B7D" w:rsidP="002474C7">
      <w:pPr>
        <w:rPr>
          <w:rFonts w:asciiTheme="majorHAnsi" w:hAnsiTheme="majorHAnsi"/>
          <w:i/>
          <w:sz w:val="12"/>
          <w:szCs w:val="12"/>
        </w:rPr>
      </w:pPr>
    </w:p>
    <w:p w:rsidR="00C502E3" w:rsidRPr="00C502E3" w:rsidRDefault="00C502E3" w:rsidP="00C502E3">
      <w:pPr>
        <w:pStyle w:val="Akapitzlist"/>
        <w:numPr>
          <w:ilvl w:val="0"/>
          <w:numId w:val="2"/>
        </w:numPr>
        <w:ind w:left="1134" w:hanging="567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>Przygotowanie wytycznych do ujęcia w polityce rachunkowości Urzędu Marszałkowskiego i pozostałych jednostek budżetowych w zakresie scentralizowanego rozliczania podatku VAT na podstawie przepisów prawa i aktów wewnętrznych.</w:t>
      </w:r>
    </w:p>
    <w:p w:rsidR="00C502E3" w:rsidRDefault="00C502E3" w:rsidP="00C502E3">
      <w:pPr>
        <w:pStyle w:val="Akapitzlist"/>
        <w:ind w:left="1134"/>
        <w:rPr>
          <w:rFonts w:asciiTheme="majorHAnsi" w:hAnsiTheme="majorHAnsi"/>
          <w:sz w:val="24"/>
          <w:szCs w:val="24"/>
        </w:rPr>
      </w:pPr>
    </w:p>
    <w:p w:rsidR="002474C7" w:rsidRDefault="002474C7" w:rsidP="002474C7">
      <w:pPr>
        <w:pStyle w:val="Akapitzlist"/>
        <w:spacing w:line="240" w:lineRule="auto"/>
        <w:ind w:left="1134"/>
        <w:rPr>
          <w:rFonts w:asciiTheme="majorHAnsi" w:hAnsiTheme="majorHAnsi"/>
          <w:i/>
          <w:sz w:val="24"/>
          <w:szCs w:val="24"/>
        </w:rPr>
      </w:pPr>
      <w:r w:rsidRPr="004A4B7D">
        <w:rPr>
          <w:rFonts w:asciiTheme="majorHAnsi" w:hAnsiTheme="majorHAnsi"/>
          <w:i/>
          <w:sz w:val="24"/>
          <w:szCs w:val="24"/>
        </w:rPr>
        <w:t>Projekt</w:t>
      </w:r>
      <w:r w:rsidR="007F3EE2">
        <w:rPr>
          <w:rFonts w:asciiTheme="majorHAnsi" w:hAnsiTheme="majorHAnsi"/>
          <w:i/>
          <w:sz w:val="24"/>
          <w:szCs w:val="24"/>
        </w:rPr>
        <w:t xml:space="preserve"> zapisów</w:t>
      </w:r>
      <w:r w:rsidRPr="004A4B7D">
        <w:rPr>
          <w:rFonts w:asciiTheme="majorHAnsi" w:hAnsiTheme="majorHAnsi"/>
          <w:i/>
          <w:sz w:val="24"/>
          <w:szCs w:val="24"/>
        </w:rPr>
        <w:t xml:space="preserve"> instrukcji wymienionych w ust. 6 </w:t>
      </w:r>
      <w:r>
        <w:rPr>
          <w:rFonts w:asciiTheme="majorHAnsi" w:hAnsiTheme="majorHAnsi"/>
          <w:i/>
          <w:sz w:val="24"/>
          <w:szCs w:val="24"/>
        </w:rPr>
        <w:t xml:space="preserve">i wytyczne </w:t>
      </w:r>
      <w:proofErr w:type="spellStart"/>
      <w:r>
        <w:rPr>
          <w:rFonts w:asciiTheme="majorHAnsi" w:hAnsiTheme="majorHAnsi"/>
          <w:i/>
          <w:sz w:val="24"/>
          <w:szCs w:val="24"/>
        </w:rPr>
        <w:t>zg</w:t>
      </w:r>
      <w:proofErr w:type="spellEnd"/>
      <w:r>
        <w:rPr>
          <w:rFonts w:asciiTheme="majorHAnsi" w:hAnsiTheme="majorHAnsi"/>
          <w:i/>
          <w:sz w:val="24"/>
          <w:szCs w:val="24"/>
        </w:rPr>
        <w:t xml:space="preserve">. z ust. 7 </w:t>
      </w:r>
      <w:r w:rsidRPr="004A4B7D">
        <w:rPr>
          <w:rFonts w:asciiTheme="majorHAnsi" w:hAnsiTheme="majorHAnsi"/>
          <w:i/>
          <w:sz w:val="24"/>
          <w:szCs w:val="24"/>
        </w:rPr>
        <w:t>win</w:t>
      </w:r>
      <w:r w:rsidR="00A54863">
        <w:rPr>
          <w:rFonts w:asciiTheme="majorHAnsi" w:hAnsiTheme="majorHAnsi"/>
          <w:i/>
          <w:sz w:val="24"/>
          <w:szCs w:val="24"/>
        </w:rPr>
        <w:t>ny</w:t>
      </w:r>
      <w:r w:rsidR="007F3EE2">
        <w:rPr>
          <w:rFonts w:asciiTheme="majorHAnsi" w:hAnsiTheme="majorHAnsi"/>
          <w:i/>
          <w:sz w:val="24"/>
          <w:szCs w:val="24"/>
        </w:rPr>
        <w:t xml:space="preserve"> być uzgodniony i za</w:t>
      </w:r>
      <w:r w:rsidRPr="004A4B7D">
        <w:rPr>
          <w:rFonts w:asciiTheme="majorHAnsi" w:hAnsiTheme="majorHAnsi"/>
          <w:i/>
          <w:sz w:val="24"/>
          <w:szCs w:val="24"/>
        </w:rPr>
        <w:t>akcept</w:t>
      </w:r>
      <w:r w:rsidR="007F3EE2">
        <w:rPr>
          <w:rFonts w:asciiTheme="majorHAnsi" w:hAnsiTheme="majorHAnsi"/>
          <w:i/>
          <w:sz w:val="24"/>
          <w:szCs w:val="24"/>
        </w:rPr>
        <w:t>owany przez Skarbnika Województwa</w:t>
      </w:r>
      <w:r w:rsidRPr="004A4B7D">
        <w:rPr>
          <w:rFonts w:asciiTheme="majorHAnsi" w:hAnsiTheme="majorHAnsi"/>
          <w:i/>
          <w:sz w:val="24"/>
          <w:szCs w:val="24"/>
        </w:rPr>
        <w:t xml:space="preserve"> do dnia </w:t>
      </w:r>
      <w:r w:rsidR="007F3EE2">
        <w:rPr>
          <w:rFonts w:asciiTheme="majorHAnsi" w:hAnsiTheme="majorHAnsi"/>
          <w:i/>
          <w:sz w:val="24"/>
          <w:szCs w:val="24"/>
        </w:rPr>
        <w:t xml:space="preserve">15 </w:t>
      </w:r>
      <w:r w:rsidRPr="004A4B7D">
        <w:rPr>
          <w:rFonts w:asciiTheme="majorHAnsi" w:hAnsiTheme="majorHAnsi"/>
          <w:i/>
          <w:sz w:val="24"/>
          <w:szCs w:val="24"/>
        </w:rPr>
        <w:t>grudnia 2016 r.</w:t>
      </w:r>
    </w:p>
    <w:p w:rsidR="002474C7" w:rsidRPr="001C30EF" w:rsidRDefault="002474C7" w:rsidP="00C502E3">
      <w:pPr>
        <w:pStyle w:val="Akapitzlist"/>
        <w:ind w:left="1134"/>
        <w:rPr>
          <w:rFonts w:asciiTheme="majorHAnsi" w:hAnsiTheme="majorHAnsi"/>
          <w:sz w:val="12"/>
          <w:szCs w:val="12"/>
        </w:rPr>
      </w:pPr>
    </w:p>
    <w:p w:rsidR="00C502E3" w:rsidRPr="00C502E3" w:rsidRDefault="00C502E3" w:rsidP="00C502E3">
      <w:pPr>
        <w:pStyle w:val="Akapitzlist"/>
        <w:numPr>
          <w:ilvl w:val="0"/>
          <w:numId w:val="2"/>
        </w:numPr>
        <w:ind w:left="1134" w:hanging="567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>Przeprowadzenie warsztatów dla pracowników Urzędu Marszałkowskiego i pozostałych jednostek budżetowych w zakresie kwalifikowania dochodów pod kątem opodatkowania podatkiem VAT oraz wydatków pod kątem odliczeń od podatku VAT na podstawie przepisów prawa i aktów wewnętrznych</w:t>
      </w:r>
      <w:r w:rsidR="004A4B7D">
        <w:rPr>
          <w:rFonts w:asciiTheme="majorHAnsi" w:hAnsiTheme="majorHAnsi"/>
          <w:sz w:val="24"/>
          <w:szCs w:val="24"/>
        </w:rPr>
        <w:t xml:space="preserve"> z wykorzystaniem wyników przeprowadzonej analizy</w:t>
      </w:r>
      <w:r w:rsidRPr="00C502E3">
        <w:rPr>
          <w:rFonts w:asciiTheme="majorHAnsi" w:hAnsiTheme="majorHAnsi"/>
          <w:sz w:val="24"/>
          <w:szCs w:val="24"/>
        </w:rPr>
        <w:t xml:space="preserve">. </w:t>
      </w:r>
    </w:p>
    <w:p w:rsidR="007A1D26" w:rsidRDefault="00C502E3" w:rsidP="002474C7">
      <w:pPr>
        <w:spacing w:line="276" w:lineRule="auto"/>
        <w:ind w:left="1134"/>
        <w:rPr>
          <w:rFonts w:asciiTheme="majorHAnsi" w:hAnsiTheme="majorHAnsi"/>
        </w:rPr>
      </w:pPr>
      <w:r w:rsidRPr="00C502E3">
        <w:rPr>
          <w:rFonts w:asciiTheme="majorHAnsi" w:hAnsiTheme="majorHAnsi"/>
          <w:color w:val="auto"/>
          <w:lang w:eastAsia="en-US"/>
        </w:rPr>
        <w:t>Warsztaty dla pracowników  w wymiarze 6 godzin ( do 95 osób). Zamawiający zapewnia salę, nagłośnienie i</w:t>
      </w:r>
      <w:r w:rsidRPr="00C502E3">
        <w:rPr>
          <w:rFonts w:asciiTheme="majorHAnsi" w:hAnsiTheme="majorHAnsi"/>
        </w:rPr>
        <w:t xml:space="preserve"> projektor.</w:t>
      </w:r>
    </w:p>
    <w:p w:rsidR="00C502E3" w:rsidRPr="00A54863" w:rsidRDefault="00C502E3" w:rsidP="00A54863">
      <w:pPr>
        <w:rPr>
          <w:rFonts w:asciiTheme="majorHAnsi" w:hAnsiTheme="majorHAnsi"/>
        </w:rPr>
      </w:pPr>
    </w:p>
    <w:p w:rsidR="00C502E3" w:rsidRPr="00C502E3" w:rsidRDefault="00C502E3" w:rsidP="00C502E3">
      <w:pPr>
        <w:pStyle w:val="Style2"/>
        <w:shd w:val="clear" w:color="auto" w:fill="auto"/>
        <w:spacing w:line="276" w:lineRule="auto"/>
        <w:ind w:firstLine="0"/>
        <w:rPr>
          <w:rFonts w:asciiTheme="majorHAnsi" w:hAnsiTheme="majorHAnsi"/>
          <w:b/>
          <w:color w:val="000000"/>
          <w:sz w:val="24"/>
          <w:szCs w:val="24"/>
        </w:rPr>
      </w:pPr>
      <w:r w:rsidRPr="00C502E3">
        <w:rPr>
          <w:rStyle w:val="CharStyle7"/>
          <w:rFonts w:asciiTheme="majorHAnsi" w:hAnsiTheme="majorHAnsi"/>
          <w:b/>
          <w:color w:val="000000"/>
          <w:sz w:val="24"/>
          <w:szCs w:val="24"/>
        </w:rPr>
        <w:t>II ETAP</w:t>
      </w:r>
    </w:p>
    <w:p w:rsidR="001C30EF" w:rsidRPr="001C30EF" w:rsidRDefault="00C502E3" w:rsidP="001C30EF">
      <w:pPr>
        <w:pStyle w:val="Style6"/>
        <w:numPr>
          <w:ilvl w:val="0"/>
          <w:numId w:val="1"/>
        </w:numPr>
        <w:shd w:val="clear" w:color="auto" w:fill="auto"/>
        <w:spacing w:before="0" w:after="283" w:line="276" w:lineRule="auto"/>
        <w:ind w:left="1134" w:right="20" w:hanging="567"/>
        <w:rPr>
          <w:rFonts w:asciiTheme="majorHAnsi" w:hAnsiTheme="majorHAnsi"/>
          <w:sz w:val="24"/>
          <w:szCs w:val="24"/>
        </w:rPr>
      </w:pPr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Ustalenie zasad kalkulacji </w:t>
      </w:r>
      <w:proofErr w:type="spellStart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>pre-współczynnika</w:t>
      </w:r>
      <w:proofErr w:type="spellEnd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 wg obowiązującego rozporządzenia Ministra Finansów odrębnie dla każdej jednostki budżetowej Województwa.</w:t>
      </w:r>
    </w:p>
    <w:p w:rsidR="00C502E3" w:rsidRPr="00C502E3" w:rsidRDefault="00C502E3" w:rsidP="00C502E3">
      <w:pPr>
        <w:pStyle w:val="Style6"/>
        <w:numPr>
          <w:ilvl w:val="0"/>
          <w:numId w:val="1"/>
        </w:numPr>
        <w:shd w:val="clear" w:color="auto" w:fill="auto"/>
        <w:spacing w:before="0" w:after="0" w:line="276" w:lineRule="auto"/>
        <w:ind w:left="1134" w:hanging="567"/>
        <w:rPr>
          <w:rFonts w:asciiTheme="majorHAnsi" w:hAnsiTheme="majorHAnsi"/>
          <w:sz w:val="24"/>
          <w:szCs w:val="24"/>
        </w:rPr>
      </w:pPr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Metodologia kalkulacji </w:t>
      </w:r>
      <w:proofErr w:type="spellStart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>pre-współczynnika</w:t>
      </w:r>
      <w:proofErr w:type="spellEnd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 uwzględni </w:t>
      </w:r>
      <w:proofErr w:type="spellStart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>m.in</w:t>
      </w:r>
      <w:proofErr w:type="spellEnd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>:</w:t>
      </w:r>
    </w:p>
    <w:p w:rsidR="00C502E3" w:rsidRPr="00C502E3" w:rsidRDefault="00C502E3" w:rsidP="00C502E3">
      <w:pPr>
        <w:pStyle w:val="Style6"/>
        <w:numPr>
          <w:ilvl w:val="0"/>
          <w:numId w:val="5"/>
        </w:numPr>
        <w:shd w:val="clear" w:color="auto" w:fill="auto"/>
        <w:spacing w:before="0" w:after="0" w:line="276" w:lineRule="auto"/>
        <w:ind w:left="1418" w:right="20" w:hanging="284"/>
        <w:rPr>
          <w:rFonts w:asciiTheme="majorHAnsi" w:hAnsiTheme="majorHAnsi"/>
          <w:sz w:val="24"/>
          <w:szCs w:val="24"/>
        </w:rPr>
      </w:pPr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specyfikę organizacyjną, w tym w szczególności dane i informacje do kalkulacji </w:t>
      </w:r>
      <w:proofErr w:type="spellStart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>pre-współczynnika</w:t>
      </w:r>
      <w:proofErr w:type="spellEnd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 możliwe do pozyskania,</w:t>
      </w:r>
    </w:p>
    <w:p w:rsidR="00C502E3" w:rsidRPr="00C502E3" w:rsidRDefault="00C502E3" w:rsidP="00C502E3">
      <w:pPr>
        <w:pStyle w:val="Style6"/>
        <w:numPr>
          <w:ilvl w:val="0"/>
          <w:numId w:val="5"/>
        </w:numPr>
        <w:shd w:val="clear" w:color="auto" w:fill="auto"/>
        <w:spacing w:before="0" w:after="0" w:line="276" w:lineRule="auto"/>
        <w:ind w:left="1418" w:right="20" w:hanging="284"/>
        <w:rPr>
          <w:rFonts w:asciiTheme="majorHAnsi" w:hAnsiTheme="majorHAnsi"/>
          <w:sz w:val="24"/>
          <w:szCs w:val="24"/>
        </w:rPr>
      </w:pPr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efekt finansowy dla każdej jednostki organizacyjnej województwa, tj. </w:t>
      </w:r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lastRenderedPageBreak/>
        <w:t xml:space="preserve">odliczenie możliwie jak największej kwoty podatku VAT naliczonego po zastosowaniu </w:t>
      </w:r>
      <w:proofErr w:type="spellStart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>pre-współczynnika</w:t>
      </w:r>
      <w:proofErr w:type="spellEnd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>,</w:t>
      </w:r>
    </w:p>
    <w:p w:rsidR="00C502E3" w:rsidRPr="00C502E3" w:rsidRDefault="00C502E3" w:rsidP="00C502E3">
      <w:pPr>
        <w:pStyle w:val="Style6"/>
        <w:numPr>
          <w:ilvl w:val="0"/>
          <w:numId w:val="5"/>
        </w:numPr>
        <w:shd w:val="clear" w:color="auto" w:fill="auto"/>
        <w:spacing w:before="0" w:after="0" w:line="276" w:lineRule="auto"/>
        <w:ind w:left="1418" w:right="20" w:hanging="284"/>
        <w:rPr>
          <w:rStyle w:val="CharStyle7"/>
          <w:rFonts w:asciiTheme="majorHAnsi" w:hAnsiTheme="majorHAnsi"/>
          <w:sz w:val="24"/>
          <w:szCs w:val="24"/>
        </w:rPr>
      </w:pPr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obciążenia administracyjne - ustalona metodologia kalkulacji </w:t>
      </w:r>
      <w:proofErr w:type="spellStart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>pre</w:t>
      </w:r>
      <w:proofErr w:type="spellEnd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>- współczynnika nie powinna powodować nadmiernego obciążenia administracyjnego dla jednostek organizacyjnych województwa.</w:t>
      </w:r>
    </w:p>
    <w:p w:rsidR="00C502E3" w:rsidRDefault="00C502E3" w:rsidP="001C30EF">
      <w:pPr>
        <w:pStyle w:val="Style6"/>
        <w:numPr>
          <w:ilvl w:val="0"/>
          <w:numId w:val="1"/>
        </w:numPr>
        <w:shd w:val="clear" w:color="auto" w:fill="auto"/>
        <w:spacing w:before="0" w:after="0" w:line="276" w:lineRule="auto"/>
        <w:ind w:left="1134" w:right="20" w:hanging="567"/>
        <w:rPr>
          <w:rFonts w:asciiTheme="majorHAnsi" w:hAnsiTheme="majorHAnsi"/>
          <w:sz w:val="24"/>
          <w:szCs w:val="24"/>
        </w:rPr>
      </w:pPr>
      <w:r w:rsidRPr="00C502E3">
        <w:rPr>
          <w:rFonts w:asciiTheme="majorHAnsi" w:hAnsiTheme="majorHAnsi"/>
          <w:sz w:val="24"/>
          <w:szCs w:val="24"/>
        </w:rPr>
        <w:t xml:space="preserve">Przygotowanie instrukcji dotyczącej zasad gromadzenia i weryfikacji danych niezbędnych do wyliczenia </w:t>
      </w:r>
      <w:proofErr w:type="spellStart"/>
      <w:r w:rsidRPr="00C502E3">
        <w:rPr>
          <w:rFonts w:asciiTheme="majorHAnsi" w:hAnsiTheme="majorHAnsi"/>
          <w:sz w:val="24"/>
          <w:szCs w:val="24"/>
        </w:rPr>
        <w:t>pre-współczynnka</w:t>
      </w:r>
      <w:proofErr w:type="spellEnd"/>
      <w:r w:rsidRPr="00C502E3">
        <w:rPr>
          <w:rFonts w:asciiTheme="majorHAnsi" w:hAnsiTheme="majorHAnsi"/>
          <w:sz w:val="24"/>
          <w:szCs w:val="24"/>
        </w:rPr>
        <w:t xml:space="preserve"> w kolejnych latach według przyjętej metodologii dla Urzędu Marszałkowskiego i pozostałych jednostek budżetowych.</w:t>
      </w:r>
    </w:p>
    <w:p w:rsidR="001C30EF" w:rsidRPr="001C30EF" w:rsidRDefault="001C30EF" w:rsidP="001C30EF">
      <w:pPr>
        <w:pStyle w:val="Style6"/>
        <w:shd w:val="clear" w:color="auto" w:fill="auto"/>
        <w:spacing w:before="0" w:after="0" w:line="276" w:lineRule="auto"/>
        <w:ind w:left="1134" w:right="20" w:firstLine="0"/>
        <w:rPr>
          <w:rStyle w:val="CharStyle7"/>
          <w:rFonts w:asciiTheme="majorHAnsi" w:hAnsiTheme="majorHAnsi"/>
          <w:sz w:val="24"/>
          <w:szCs w:val="24"/>
          <w:shd w:val="clear" w:color="auto" w:fill="auto"/>
        </w:rPr>
      </w:pPr>
    </w:p>
    <w:p w:rsidR="002474C7" w:rsidRPr="002474C7" w:rsidRDefault="002474C7" w:rsidP="002474C7">
      <w:pPr>
        <w:ind w:left="1134"/>
        <w:rPr>
          <w:rFonts w:asciiTheme="majorHAnsi" w:hAnsiTheme="majorHAnsi"/>
          <w:i/>
        </w:rPr>
      </w:pPr>
      <w:r w:rsidRPr="002474C7">
        <w:rPr>
          <w:rFonts w:asciiTheme="majorHAnsi" w:hAnsiTheme="majorHAnsi"/>
          <w:i/>
        </w:rPr>
        <w:t xml:space="preserve">Projekt instrukcji wymienionych w ust. 3 winien być przedłożone do akceptacji Zamawiającego do dnia </w:t>
      </w:r>
      <w:r>
        <w:rPr>
          <w:rFonts w:asciiTheme="majorHAnsi" w:hAnsiTheme="majorHAnsi"/>
          <w:i/>
        </w:rPr>
        <w:t xml:space="preserve">30 </w:t>
      </w:r>
      <w:r w:rsidRPr="002474C7">
        <w:rPr>
          <w:rFonts w:asciiTheme="majorHAnsi" w:hAnsiTheme="majorHAnsi"/>
          <w:i/>
        </w:rPr>
        <w:t xml:space="preserve"> grudnia 2016 r.</w:t>
      </w:r>
    </w:p>
    <w:p w:rsidR="0037356F" w:rsidRPr="00C502E3" w:rsidRDefault="0037356F" w:rsidP="00C502E3">
      <w:pPr>
        <w:pStyle w:val="Style6"/>
        <w:shd w:val="clear" w:color="auto" w:fill="auto"/>
        <w:spacing w:before="0" w:after="270" w:line="220" w:lineRule="exact"/>
        <w:ind w:left="360" w:hanging="360"/>
        <w:rPr>
          <w:rStyle w:val="CharStyle7"/>
          <w:rFonts w:asciiTheme="majorHAnsi" w:hAnsiTheme="majorHAnsi"/>
          <w:color w:val="000000"/>
          <w:sz w:val="24"/>
          <w:szCs w:val="24"/>
        </w:rPr>
      </w:pPr>
    </w:p>
    <w:p w:rsidR="00C502E3" w:rsidRPr="00C502E3" w:rsidRDefault="00C502E3" w:rsidP="00C502E3">
      <w:pPr>
        <w:pStyle w:val="Style6"/>
        <w:shd w:val="clear" w:color="auto" w:fill="auto"/>
        <w:spacing w:before="0" w:after="270" w:line="276" w:lineRule="auto"/>
        <w:ind w:left="360" w:hanging="360"/>
        <w:rPr>
          <w:rFonts w:asciiTheme="majorHAnsi" w:hAnsiTheme="majorHAnsi"/>
          <w:b/>
          <w:sz w:val="24"/>
          <w:szCs w:val="24"/>
        </w:rPr>
      </w:pPr>
      <w:r w:rsidRPr="00C502E3">
        <w:rPr>
          <w:rStyle w:val="CharStyle7"/>
          <w:rFonts w:asciiTheme="majorHAnsi" w:hAnsiTheme="majorHAnsi"/>
          <w:b/>
          <w:color w:val="000000"/>
          <w:sz w:val="24"/>
          <w:szCs w:val="24"/>
        </w:rPr>
        <w:t>III ETAP</w:t>
      </w:r>
    </w:p>
    <w:p w:rsidR="002474C7" w:rsidRPr="00C502E3" w:rsidRDefault="002474C7" w:rsidP="002474C7">
      <w:pPr>
        <w:pStyle w:val="Style6"/>
        <w:numPr>
          <w:ilvl w:val="0"/>
          <w:numId w:val="6"/>
        </w:numPr>
        <w:shd w:val="clear" w:color="auto" w:fill="auto"/>
        <w:spacing w:before="0" w:after="240" w:line="276" w:lineRule="auto"/>
        <w:ind w:left="1134" w:right="20" w:hanging="567"/>
        <w:rPr>
          <w:rFonts w:asciiTheme="majorHAnsi" w:hAnsiTheme="majorHAnsi"/>
          <w:sz w:val="24"/>
          <w:szCs w:val="24"/>
        </w:rPr>
      </w:pPr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Bieżąca obsługa doradcza w zakresie nadzoru, kontroli i weryfikacji wprowadzonych procedur centralizacyjnych, </w:t>
      </w:r>
      <w:proofErr w:type="spellStart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>pre-współczynnika</w:t>
      </w:r>
      <w:proofErr w:type="spellEnd"/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, a także pozostałych rozliczeń VAT </w:t>
      </w:r>
      <w:r>
        <w:rPr>
          <w:rStyle w:val="CharStyle7"/>
          <w:rFonts w:asciiTheme="majorHAnsi" w:hAnsiTheme="majorHAnsi"/>
          <w:color w:val="000000"/>
          <w:sz w:val="24"/>
          <w:szCs w:val="24"/>
        </w:rPr>
        <w:t>Urzędu Marszałkowskiego pozostałych j</w:t>
      </w:r>
      <w:r w:rsidRPr="00C502E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ednostek </w:t>
      </w:r>
      <w:r>
        <w:rPr>
          <w:rStyle w:val="CharStyle7"/>
          <w:rFonts w:asciiTheme="majorHAnsi" w:hAnsiTheme="majorHAnsi"/>
          <w:color w:val="000000"/>
          <w:sz w:val="24"/>
          <w:szCs w:val="24"/>
        </w:rPr>
        <w:t>budżetowych w miesiącu styczniu i lutym 2017 roku.</w:t>
      </w:r>
    </w:p>
    <w:p w:rsidR="002474C7" w:rsidRPr="002474C7" w:rsidRDefault="00C502E3" w:rsidP="002474C7">
      <w:pPr>
        <w:pStyle w:val="Style6"/>
        <w:numPr>
          <w:ilvl w:val="0"/>
          <w:numId w:val="6"/>
        </w:numPr>
        <w:shd w:val="clear" w:color="auto" w:fill="auto"/>
        <w:spacing w:before="0" w:after="240" w:line="276" w:lineRule="auto"/>
        <w:ind w:left="1134" w:right="20" w:hanging="567"/>
        <w:rPr>
          <w:rStyle w:val="CharStyle7"/>
          <w:rFonts w:asciiTheme="majorHAnsi" w:hAnsiTheme="majorHAnsi"/>
          <w:sz w:val="24"/>
          <w:szCs w:val="24"/>
          <w:shd w:val="clear" w:color="auto" w:fill="auto"/>
        </w:rPr>
      </w:pPr>
      <w:r w:rsidRPr="002474C7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Analiza </w:t>
      </w:r>
      <w:r w:rsidR="00600333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kompletności i </w:t>
      </w:r>
      <w:r w:rsidR="002474C7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poprawności sporządzonej deklaracji VAT Województwa Warmińsko-Mazurskiego za miesiąc styczeń i luty 2017 r. </w:t>
      </w:r>
    </w:p>
    <w:p w:rsidR="002474C7" w:rsidRPr="002474C7" w:rsidRDefault="002474C7" w:rsidP="002474C7">
      <w:pPr>
        <w:pStyle w:val="Style6"/>
        <w:numPr>
          <w:ilvl w:val="0"/>
          <w:numId w:val="6"/>
        </w:numPr>
        <w:shd w:val="clear" w:color="auto" w:fill="auto"/>
        <w:spacing w:before="0" w:after="0" w:line="276" w:lineRule="auto"/>
        <w:ind w:left="1134" w:right="23" w:hanging="567"/>
        <w:rPr>
          <w:rStyle w:val="CharStyle7"/>
          <w:rFonts w:asciiTheme="majorHAnsi" w:hAnsiTheme="majorHAnsi"/>
          <w:sz w:val="24"/>
          <w:szCs w:val="24"/>
          <w:shd w:val="clear" w:color="auto" w:fill="auto"/>
        </w:rPr>
      </w:pPr>
      <w:r>
        <w:rPr>
          <w:rStyle w:val="CharStyle7"/>
          <w:rFonts w:asciiTheme="majorHAnsi" w:hAnsiTheme="majorHAnsi"/>
          <w:color w:val="000000"/>
          <w:sz w:val="24"/>
          <w:szCs w:val="24"/>
        </w:rPr>
        <w:t>Sporządzenie r</w:t>
      </w:r>
      <w:r w:rsidR="00C502E3" w:rsidRPr="002474C7">
        <w:rPr>
          <w:rStyle w:val="CharStyle7"/>
          <w:rFonts w:asciiTheme="majorHAnsi" w:hAnsiTheme="majorHAnsi"/>
          <w:color w:val="000000"/>
          <w:sz w:val="24"/>
          <w:szCs w:val="24"/>
        </w:rPr>
        <w:t>aport</w:t>
      </w:r>
      <w:r>
        <w:rPr>
          <w:rStyle w:val="CharStyle7"/>
          <w:rFonts w:asciiTheme="majorHAnsi" w:hAnsiTheme="majorHAnsi"/>
          <w:color w:val="000000"/>
          <w:sz w:val="24"/>
          <w:szCs w:val="24"/>
        </w:rPr>
        <w:t>u obejmującego</w:t>
      </w:r>
      <w:r w:rsidR="00C502E3" w:rsidRPr="002474C7">
        <w:rPr>
          <w:rStyle w:val="CharStyle7"/>
          <w:rFonts w:asciiTheme="majorHAnsi" w:hAnsiTheme="majorHAnsi"/>
          <w:color w:val="000000"/>
          <w:sz w:val="24"/>
          <w:szCs w:val="24"/>
        </w:rPr>
        <w:t xml:space="preserve"> wynik wspólnego rozliczenia podatku VAT </w:t>
      </w:r>
      <w:r>
        <w:rPr>
          <w:rStyle w:val="CharStyle7"/>
          <w:rFonts w:asciiTheme="majorHAnsi" w:hAnsiTheme="majorHAnsi"/>
          <w:color w:val="000000"/>
          <w:sz w:val="24"/>
          <w:szCs w:val="24"/>
        </w:rPr>
        <w:t>za miesiąc rozliczeniowy:</w:t>
      </w:r>
    </w:p>
    <w:p w:rsidR="002474C7" w:rsidRDefault="002474C7" w:rsidP="002474C7">
      <w:pPr>
        <w:pStyle w:val="Style6"/>
        <w:shd w:val="clear" w:color="auto" w:fill="auto"/>
        <w:spacing w:before="0" w:after="0" w:line="276" w:lineRule="auto"/>
        <w:ind w:left="1134" w:right="23" w:firstLine="0"/>
        <w:rPr>
          <w:rStyle w:val="CharStyle7"/>
          <w:rFonts w:asciiTheme="majorHAnsi" w:hAnsiTheme="majorHAnsi"/>
          <w:color w:val="000000"/>
          <w:sz w:val="24"/>
          <w:szCs w:val="24"/>
        </w:rPr>
      </w:pPr>
      <w:r>
        <w:rPr>
          <w:rStyle w:val="CharStyle7"/>
          <w:rFonts w:asciiTheme="majorHAnsi" w:hAnsiTheme="majorHAnsi"/>
          <w:color w:val="000000"/>
          <w:sz w:val="24"/>
          <w:szCs w:val="24"/>
        </w:rPr>
        <w:t>- styczeń do dnia 23 lutego 2017 r.,</w:t>
      </w:r>
    </w:p>
    <w:p w:rsidR="00C502E3" w:rsidRPr="002474C7" w:rsidRDefault="002474C7" w:rsidP="002474C7">
      <w:pPr>
        <w:pStyle w:val="Style6"/>
        <w:shd w:val="clear" w:color="auto" w:fill="auto"/>
        <w:spacing w:before="0" w:after="0" w:line="276" w:lineRule="auto"/>
        <w:ind w:right="23" w:firstLine="1134"/>
        <w:rPr>
          <w:rStyle w:val="CharStyle7"/>
          <w:rFonts w:asciiTheme="majorHAnsi" w:hAnsiTheme="majorHAnsi"/>
          <w:sz w:val="24"/>
          <w:szCs w:val="24"/>
          <w:shd w:val="clear" w:color="auto" w:fill="auto"/>
        </w:rPr>
      </w:pPr>
      <w:r>
        <w:rPr>
          <w:rStyle w:val="CharStyle7"/>
          <w:rFonts w:asciiTheme="majorHAnsi" w:hAnsiTheme="majorHAnsi"/>
          <w:sz w:val="24"/>
          <w:szCs w:val="24"/>
          <w:shd w:val="clear" w:color="auto" w:fill="auto"/>
        </w:rPr>
        <w:t>- luty do dnia 23 marca 2017 r.</w:t>
      </w:r>
    </w:p>
    <w:sectPr w:rsidR="00C502E3" w:rsidRPr="002474C7" w:rsidSect="00CF0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51F" w:rsidRDefault="0001351F" w:rsidP="0037356F">
      <w:r>
        <w:separator/>
      </w:r>
    </w:p>
  </w:endnote>
  <w:endnote w:type="continuationSeparator" w:id="0">
    <w:p w:rsidR="0001351F" w:rsidRDefault="0001351F" w:rsidP="00373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51F" w:rsidRDefault="0001351F" w:rsidP="0037356F">
      <w:r>
        <w:separator/>
      </w:r>
    </w:p>
  </w:footnote>
  <w:footnote w:type="continuationSeparator" w:id="0">
    <w:p w:rsidR="0001351F" w:rsidRDefault="0001351F" w:rsidP="003735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5"/>
    <w:multiLevelType w:val="multilevel"/>
    <w:tmpl w:val="0000002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1366BA5"/>
    <w:multiLevelType w:val="hybridMultilevel"/>
    <w:tmpl w:val="31B2CD68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41D1727"/>
    <w:multiLevelType w:val="hybridMultilevel"/>
    <w:tmpl w:val="3B327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E91FE4"/>
    <w:multiLevelType w:val="hybridMultilevel"/>
    <w:tmpl w:val="BC28CB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C37288"/>
    <w:multiLevelType w:val="hybridMultilevel"/>
    <w:tmpl w:val="C4C08E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65B15"/>
    <w:multiLevelType w:val="hybridMultilevel"/>
    <w:tmpl w:val="F07A3464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2E3"/>
    <w:rsid w:val="0001351F"/>
    <w:rsid w:val="000C4CEC"/>
    <w:rsid w:val="001C30EF"/>
    <w:rsid w:val="001E3DF8"/>
    <w:rsid w:val="002474C7"/>
    <w:rsid w:val="002D539D"/>
    <w:rsid w:val="0037356F"/>
    <w:rsid w:val="0042405F"/>
    <w:rsid w:val="004A4B7D"/>
    <w:rsid w:val="00600333"/>
    <w:rsid w:val="00704F98"/>
    <w:rsid w:val="007A1D26"/>
    <w:rsid w:val="007F3EE2"/>
    <w:rsid w:val="008B618A"/>
    <w:rsid w:val="008F5DAF"/>
    <w:rsid w:val="00934DDF"/>
    <w:rsid w:val="009B3ED8"/>
    <w:rsid w:val="00A54863"/>
    <w:rsid w:val="00A6092E"/>
    <w:rsid w:val="00AE7B25"/>
    <w:rsid w:val="00B055A3"/>
    <w:rsid w:val="00B91CA8"/>
    <w:rsid w:val="00C502E3"/>
    <w:rsid w:val="00C85742"/>
    <w:rsid w:val="00CF00D6"/>
    <w:rsid w:val="00D26123"/>
    <w:rsid w:val="00E2339E"/>
    <w:rsid w:val="00E701F6"/>
    <w:rsid w:val="00EE3E76"/>
    <w:rsid w:val="00EF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2E3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uiPriority w:val="99"/>
    <w:locked/>
    <w:rsid w:val="00C502E3"/>
    <w:rPr>
      <w:rFonts w:cs="Times New Roman"/>
      <w:sz w:val="21"/>
      <w:szCs w:val="21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uiPriority w:val="99"/>
    <w:locked/>
    <w:rsid w:val="00C502E3"/>
    <w:rPr>
      <w:rFonts w:cs="Times New Roman"/>
      <w:shd w:val="clear" w:color="auto" w:fill="FFFFFF"/>
    </w:rPr>
  </w:style>
  <w:style w:type="character" w:customStyle="1" w:styleId="CharStyle18">
    <w:name w:val="Char Style 18"/>
    <w:basedOn w:val="Domylnaczcionkaakapitu"/>
    <w:link w:val="Style17"/>
    <w:uiPriority w:val="99"/>
    <w:locked/>
    <w:rsid w:val="00C502E3"/>
    <w:rPr>
      <w:rFonts w:cs="Times New Roman"/>
      <w:b/>
      <w:bCs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C502E3"/>
    <w:pPr>
      <w:shd w:val="clear" w:color="auto" w:fill="FFFFFF"/>
      <w:spacing w:line="523" w:lineRule="exact"/>
      <w:ind w:hanging="680"/>
    </w:pPr>
    <w:rPr>
      <w:rFonts w:asciiTheme="minorHAnsi" w:eastAsiaTheme="minorHAnsi" w:hAnsiTheme="minorHAnsi"/>
      <w:color w:val="auto"/>
      <w:sz w:val="21"/>
      <w:szCs w:val="21"/>
      <w:lang w:eastAsia="en-US"/>
    </w:rPr>
  </w:style>
  <w:style w:type="paragraph" w:customStyle="1" w:styleId="Style6">
    <w:name w:val="Style 6"/>
    <w:basedOn w:val="Normalny"/>
    <w:link w:val="CharStyle7"/>
    <w:uiPriority w:val="99"/>
    <w:rsid w:val="00C502E3"/>
    <w:pPr>
      <w:shd w:val="clear" w:color="auto" w:fill="FFFFFF"/>
      <w:spacing w:before="300" w:after="180" w:line="274" w:lineRule="exact"/>
      <w:ind w:hanging="720"/>
      <w:jc w:val="both"/>
    </w:pPr>
    <w:rPr>
      <w:rFonts w:asciiTheme="minorHAnsi" w:eastAsiaTheme="minorHAnsi" w:hAnsiTheme="minorHAnsi"/>
      <w:color w:val="auto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uiPriority w:val="99"/>
    <w:rsid w:val="00C502E3"/>
    <w:pPr>
      <w:shd w:val="clear" w:color="auto" w:fill="FFFFFF"/>
      <w:spacing w:after="240" w:line="274" w:lineRule="exact"/>
      <w:ind w:hanging="600"/>
    </w:pPr>
    <w:rPr>
      <w:rFonts w:asciiTheme="minorHAnsi" w:eastAsiaTheme="minorHAnsi" w:hAnsiTheme="minorHAnsi"/>
      <w:b/>
      <w:bCs/>
      <w:color w:val="auto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502E3"/>
    <w:pPr>
      <w:widowControl/>
      <w:spacing w:line="276" w:lineRule="auto"/>
      <w:ind w:left="720"/>
      <w:contextualSpacing/>
      <w:jc w:val="both"/>
    </w:pPr>
    <w:rPr>
      <w:rFonts w:ascii="Calibri" w:hAnsi="Calibri"/>
      <w:color w:val="auto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56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56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56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793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DF0047</dc:creator>
  <cp:keywords/>
  <dc:description/>
  <cp:lastModifiedBy>DF0047</cp:lastModifiedBy>
  <cp:revision>15</cp:revision>
  <cp:lastPrinted>2016-11-09T07:21:00Z</cp:lastPrinted>
  <dcterms:created xsi:type="dcterms:W3CDTF">2016-11-04T12:31:00Z</dcterms:created>
  <dcterms:modified xsi:type="dcterms:W3CDTF">2016-11-09T07:24:00Z</dcterms:modified>
</cp:coreProperties>
</file>