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968BE" w14:textId="77777777" w:rsidR="000E5922" w:rsidRPr="00A34765" w:rsidRDefault="000E5922" w:rsidP="000E5922">
      <w:pPr>
        <w:jc w:val="center"/>
        <w:rPr>
          <w:rFonts w:ascii="Arial" w:hAnsi="Arial" w:cs="Arial"/>
          <w:b/>
          <w:sz w:val="28"/>
          <w:szCs w:val="28"/>
        </w:rPr>
      </w:pPr>
      <w:r w:rsidRPr="00A34765">
        <w:rPr>
          <w:rFonts w:ascii="Arial" w:hAnsi="Arial" w:cs="Arial"/>
          <w:b/>
          <w:sz w:val="28"/>
          <w:szCs w:val="28"/>
        </w:rPr>
        <w:t>ANALIZA</w:t>
      </w:r>
    </w:p>
    <w:p w14:paraId="23140942" w14:textId="0F09D59A" w:rsidR="000E5922" w:rsidRPr="00A34765" w:rsidRDefault="000E5922" w:rsidP="00AD7099">
      <w:pPr>
        <w:ind w:firstLine="425"/>
        <w:jc w:val="both"/>
        <w:rPr>
          <w:rFonts w:ascii="Arial" w:eastAsia="Calibri" w:hAnsi="Arial" w:cs="Arial"/>
          <w:sz w:val="24"/>
          <w:szCs w:val="24"/>
        </w:rPr>
      </w:pPr>
      <w:r w:rsidRPr="00A34765">
        <w:rPr>
          <w:rFonts w:ascii="Arial" w:eastAsia="Calibri" w:hAnsi="Arial" w:cs="Arial"/>
          <w:sz w:val="24"/>
          <w:szCs w:val="24"/>
        </w:rPr>
        <w:t>Zgodnie z art. 215 ust. 1 ustawy z dnia 27 kwietnia 2001r. Prawo ochrony środowiska (Dz. U. z 20</w:t>
      </w:r>
      <w:r w:rsidR="00734B61" w:rsidRPr="00A34765">
        <w:rPr>
          <w:rFonts w:ascii="Arial" w:eastAsia="Calibri" w:hAnsi="Arial" w:cs="Arial"/>
          <w:sz w:val="24"/>
          <w:szCs w:val="24"/>
        </w:rPr>
        <w:t>2</w:t>
      </w:r>
      <w:r w:rsidR="00A34765" w:rsidRPr="00A34765">
        <w:rPr>
          <w:rFonts w:ascii="Arial" w:eastAsia="Calibri" w:hAnsi="Arial" w:cs="Arial"/>
          <w:sz w:val="24"/>
          <w:szCs w:val="24"/>
        </w:rPr>
        <w:t>4</w:t>
      </w:r>
      <w:r w:rsidRPr="00A34765">
        <w:rPr>
          <w:rFonts w:ascii="Arial" w:eastAsia="Calibri" w:hAnsi="Arial" w:cs="Arial"/>
          <w:sz w:val="24"/>
          <w:szCs w:val="24"/>
        </w:rPr>
        <w:t xml:space="preserve"> r. poz. </w:t>
      </w:r>
      <w:r w:rsidR="00A34765" w:rsidRPr="00A34765">
        <w:rPr>
          <w:rFonts w:ascii="Arial" w:eastAsia="Calibri" w:hAnsi="Arial" w:cs="Arial"/>
          <w:sz w:val="24"/>
          <w:szCs w:val="24"/>
        </w:rPr>
        <w:t>54</w:t>
      </w:r>
      <w:r w:rsidRPr="00A34765">
        <w:rPr>
          <w:rFonts w:ascii="Arial" w:eastAsia="Calibri" w:hAnsi="Arial" w:cs="Arial"/>
          <w:sz w:val="24"/>
          <w:szCs w:val="24"/>
        </w:rPr>
        <w:t xml:space="preserve">), </w:t>
      </w:r>
      <w:r w:rsidRPr="00A34765">
        <w:rPr>
          <w:rFonts w:ascii="Arial" w:hAnsi="Arial" w:cs="Arial"/>
          <w:sz w:val="24"/>
          <w:szCs w:val="24"/>
        </w:rPr>
        <w:t>organ właściwy do wydania pozwolenia dokonuje analizy warunków pozwolenia zintegrowane</w:t>
      </w:r>
      <w:r w:rsidR="007621E3" w:rsidRPr="00A34765">
        <w:rPr>
          <w:rFonts w:ascii="Arial" w:hAnsi="Arial" w:cs="Arial"/>
          <w:sz w:val="24"/>
          <w:szCs w:val="24"/>
        </w:rPr>
        <w:t>go niezwłocznie po publikacji w </w:t>
      </w:r>
      <w:r w:rsidRPr="00A34765">
        <w:rPr>
          <w:rFonts w:ascii="Arial" w:hAnsi="Arial" w:cs="Arial"/>
          <w:sz w:val="24"/>
          <w:szCs w:val="24"/>
        </w:rPr>
        <w:t>Dzienniku Urzędowym Unii Europejskiej konkluzji BAT odnoszących się do głównej działalności danej instalacji, le</w:t>
      </w:r>
      <w:r w:rsidR="00CB5AF9" w:rsidRPr="00A34765">
        <w:rPr>
          <w:rFonts w:ascii="Arial" w:hAnsi="Arial" w:cs="Arial"/>
          <w:sz w:val="24"/>
          <w:szCs w:val="24"/>
        </w:rPr>
        <w:t>cz nie później niż w terminie 6 </w:t>
      </w:r>
      <w:r w:rsidRPr="00A34765">
        <w:rPr>
          <w:rFonts w:ascii="Arial" w:hAnsi="Arial" w:cs="Arial"/>
          <w:sz w:val="24"/>
          <w:szCs w:val="24"/>
        </w:rPr>
        <w:t>miesięcy od dnia publikacji</w:t>
      </w:r>
      <w:r w:rsidR="007621E3" w:rsidRPr="00A34765">
        <w:rPr>
          <w:rFonts w:ascii="Arial" w:hAnsi="Arial" w:cs="Arial"/>
          <w:sz w:val="24"/>
          <w:szCs w:val="24"/>
        </w:rPr>
        <w:t>.</w:t>
      </w:r>
    </w:p>
    <w:p w14:paraId="3CFD696C" w14:textId="4CB2BF67" w:rsidR="00A34765" w:rsidRPr="00A34765" w:rsidRDefault="000E5922" w:rsidP="00AD7099">
      <w:pPr>
        <w:ind w:firstLine="425"/>
        <w:jc w:val="both"/>
        <w:rPr>
          <w:rFonts w:ascii="Arial" w:hAnsi="Arial" w:cs="Arial"/>
          <w:sz w:val="24"/>
          <w:szCs w:val="24"/>
        </w:rPr>
      </w:pPr>
      <w:r w:rsidRPr="00A34765">
        <w:rPr>
          <w:rFonts w:ascii="Arial" w:eastAsia="Calibri" w:hAnsi="Arial" w:cs="Arial"/>
          <w:sz w:val="24"/>
          <w:szCs w:val="24"/>
        </w:rPr>
        <w:t>Decy</w:t>
      </w:r>
      <w:r w:rsidR="007621E3" w:rsidRPr="00A34765">
        <w:rPr>
          <w:rFonts w:ascii="Arial" w:eastAsia="Calibri" w:hAnsi="Arial" w:cs="Arial"/>
          <w:sz w:val="24"/>
          <w:szCs w:val="24"/>
        </w:rPr>
        <w:t>zją Wykonawczą Komisji (UE) 20</w:t>
      </w:r>
      <w:r w:rsidR="00734B61" w:rsidRPr="00A34765">
        <w:rPr>
          <w:rFonts w:ascii="Arial" w:eastAsia="Calibri" w:hAnsi="Arial" w:cs="Arial"/>
          <w:sz w:val="24"/>
          <w:szCs w:val="24"/>
        </w:rPr>
        <w:t>2</w:t>
      </w:r>
      <w:r w:rsidR="00A34765" w:rsidRPr="00A34765">
        <w:rPr>
          <w:rFonts w:ascii="Arial" w:eastAsia="Calibri" w:hAnsi="Arial" w:cs="Arial"/>
          <w:sz w:val="24"/>
          <w:szCs w:val="24"/>
        </w:rPr>
        <w:t>3</w:t>
      </w:r>
      <w:r w:rsidRPr="00A34765">
        <w:rPr>
          <w:rFonts w:ascii="Arial" w:eastAsia="Calibri" w:hAnsi="Arial" w:cs="Arial"/>
          <w:sz w:val="24"/>
          <w:szCs w:val="24"/>
        </w:rPr>
        <w:t>/</w:t>
      </w:r>
      <w:r w:rsidR="00A34765" w:rsidRPr="00A34765">
        <w:rPr>
          <w:rFonts w:ascii="Arial" w:eastAsia="Calibri" w:hAnsi="Arial" w:cs="Arial"/>
          <w:sz w:val="24"/>
          <w:szCs w:val="24"/>
        </w:rPr>
        <w:t>2749</w:t>
      </w:r>
      <w:r w:rsidRPr="00A34765">
        <w:rPr>
          <w:rFonts w:ascii="Arial" w:eastAsia="Calibri" w:hAnsi="Arial" w:cs="Arial"/>
          <w:sz w:val="24"/>
          <w:szCs w:val="24"/>
        </w:rPr>
        <w:t xml:space="preserve"> z dnia </w:t>
      </w:r>
      <w:r w:rsidR="007621E3" w:rsidRPr="00A34765">
        <w:rPr>
          <w:rFonts w:ascii="Arial" w:eastAsia="Calibri" w:hAnsi="Arial" w:cs="Arial"/>
          <w:sz w:val="24"/>
          <w:szCs w:val="24"/>
        </w:rPr>
        <w:t>1</w:t>
      </w:r>
      <w:r w:rsidR="00734B61" w:rsidRPr="00A34765">
        <w:rPr>
          <w:rFonts w:ascii="Arial" w:eastAsia="Calibri" w:hAnsi="Arial" w:cs="Arial"/>
          <w:sz w:val="24"/>
          <w:szCs w:val="24"/>
        </w:rPr>
        <w:t>1</w:t>
      </w:r>
      <w:r w:rsidR="007621E3" w:rsidRPr="00A34765">
        <w:rPr>
          <w:rFonts w:ascii="Arial" w:eastAsia="Calibri" w:hAnsi="Arial" w:cs="Arial"/>
          <w:sz w:val="24"/>
          <w:szCs w:val="24"/>
        </w:rPr>
        <w:t xml:space="preserve"> </w:t>
      </w:r>
      <w:r w:rsidR="00A34765" w:rsidRPr="00A34765">
        <w:rPr>
          <w:rFonts w:ascii="Arial" w:eastAsia="Calibri" w:hAnsi="Arial" w:cs="Arial"/>
          <w:sz w:val="24"/>
          <w:szCs w:val="24"/>
        </w:rPr>
        <w:t>grudnia 2023</w:t>
      </w:r>
      <w:r w:rsidRPr="00A34765">
        <w:rPr>
          <w:rFonts w:ascii="Arial" w:eastAsia="Calibri" w:hAnsi="Arial" w:cs="Arial"/>
          <w:sz w:val="24"/>
          <w:szCs w:val="24"/>
        </w:rPr>
        <w:t xml:space="preserve"> r. ustanowiono konkluzje </w:t>
      </w:r>
      <w:r w:rsidR="007621E3" w:rsidRPr="00A34765">
        <w:rPr>
          <w:rFonts w:ascii="Arial" w:hAnsi="Arial" w:cs="Arial"/>
          <w:sz w:val="24"/>
          <w:szCs w:val="24"/>
        </w:rPr>
        <w:t xml:space="preserve">dotyczące najlepszych dostępnych technik (BAT) </w:t>
      </w:r>
      <w:r w:rsidR="00A34765" w:rsidRPr="00A34765">
        <w:rPr>
          <w:rFonts w:ascii="Arial" w:hAnsi="Arial" w:cs="Arial"/>
          <w:sz w:val="24"/>
          <w:szCs w:val="24"/>
        </w:rPr>
        <w:t>zgodnie z dyrektywą Parlamentu Europejskiego i Rady 2010/75/UE w sprawie emisji przemysłowych, w odniesieniu do rzeźni oraz sektorów przetwórstwa produktów ubocznych pochodzenia zwierzęcego i/lub jadalnych produktów ubocznych</w:t>
      </w:r>
      <w:r w:rsidR="00A34765">
        <w:rPr>
          <w:rFonts w:ascii="Arial" w:hAnsi="Arial" w:cs="Arial"/>
          <w:sz w:val="24"/>
          <w:szCs w:val="24"/>
        </w:rPr>
        <w:t>.</w:t>
      </w:r>
    </w:p>
    <w:p w14:paraId="512CAA25" w14:textId="2CB7C850" w:rsidR="001D7C8E" w:rsidRDefault="000E5922" w:rsidP="00085D9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930487">
        <w:rPr>
          <w:rFonts w:ascii="Arial" w:eastAsia="Times New Roman" w:hAnsi="Arial" w:cs="Arial"/>
          <w:sz w:val="24"/>
          <w:szCs w:val="24"/>
          <w:lang w:eastAsia="pl-PL"/>
        </w:rPr>
        <w:t>Niniejsze konkluzje dotyczące BAT odnoszą się do</w:t>
      </w:r>
      <w:r w:rsidRPr="00930487">
        <w:rPr>
          <w:rFonts w:ascii="Arial" w:hAnsi="Arial" w:cs="Arial"/>
          <w:sz w:val="24"/>
          <w:szCs w:val="24"/>
        </w:rPr>
        <w:t xml:space="preserve"> rodzajów instalacji mogących powodować znaczne zanieczyszczenie poszczególnych elementów przyrodniczych albo środowiska jako całości </w:t>
      </w:r>
      <w:r w:rsidRPr="000B5FDC">
        <w:rPr>
          <w:rFonts w:ascii="Arial" w:hAnsi="Arial" w:cs="Arial"/>
          <w:sz w:val="24"/>
          <w:szCs w:val="24"/>
        </w:rPr>
        <w:t xml:space="preserve">określonej w </w:t>
      </w:r>
      <w:r w:rsidR="00961A8C" w:rsidRPr="000B5FDC">
        <w:rPr>
          <w:rFonts w:ascii="Arial" w:hAnsi="Arial" w:cs="Arial"/>
          <w:sz w:val="24"/>
          <w:szCs w:val="24"/>
        </w:rPr>
        <w:t xml:space="preserve">ust. 6 pkt  4, 7 </w:t>
      </w:r>
      <w:r w:rsidR="00EE6C2B" w:rsidRPr="000B5FDC">
        <w:rPr>
          <w:rFonts w:ascii="Arial" w:hAnsi="Arial" w:cs="Arial"/>
          <w:sz w:val="24"/>
          <w:szCs w:val="24"/>
        </w:rPr>
        <w:t xml:space="preserve">i 13 </w:t>
      </w:r>
      <w:r w:rsidRPr="000B5FDC">
        <w:rPr>
          <w:rFonts w:ascii="Arial" w:hAnsi="Arial" w:cs="Arial"/>
          <w:sz w:val="24"/>
          <w:szCs w:val="24"/>
        </w:rPr>
        <w:t xml:space="preserve">załącznika </w:t>
      </w:r>
      <w:r w:rsidRPr="00930487">
        <w:rPr>
          <w:rFonts w:ascii="Arial" w:hAnsi="Arial" w:cs="Arial"/>
          <w:sz w:val="24"/>
          <w:szCs w:val="24"/>
        </w:rPr>
        <w:t xml:space="preserve">do rozporządzenia Ministra Środowiska z dnia 27 sierpnia 2014 r. w sprawie rodzajów instalacji mogących powodować znaczne zanieczyszczenie poszczególnych elementów przyrodniczych albo środowiska jako całości (Dz. U. z 2014 r. poz.1169) </w:t>
      </w:r>
      <w:r w:rsidR="00085D99">
        <w:rPr>
          <w:rFonts w:ascii="Arial" w:hAnsi="Arial" w:cs="Arial"/>
          <w:sz w:val="24"/>
          <w:szCs w:val="24"/>
        </w:rPr>
        <w:t xml:space="preserve">oraz </w:t>
      </w:r>
      <w:r w:rsidR="001D7C8E" w:rsidRPr="001D7C8E">
        <w:rPr>
          <w:rFonts w:ascii="Arial" w:hAnsi="Arial" w:cs="Arial"/>
          <w:sz w:val="24"/>
          <w:szCs w:val="24"/>
        </w:rPr>
        <w:t xml:space="preserve">wymienionych w załączniku I do dyrektywy 2010/75/UE: </w:t>
      </w:r>
    </w:p>
    <w:p w14:paraId="3A9C4132" w14:textId="77777777" w:rsidR="001D7C8E" w:rsidRDefault="001D7C8E" w:rsidP="00CB5AF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6.4. a) Prowadzenie rzeźni, w których produkcja tusz przekracza 50 ton dziennie. </w:t>
      </w:r>
    </w:p>
    <w:p w14:paraId="549D6B03" w14:textId="48EB5EF1" w:rsidR="001D7C8E" w:rsidRDefault="001D7C8E" w:rsidP="001D7C8E">
      <w:pPr>
        <w:spacing w:after="0" w:line="240" w:lineRule="auto"/>
        <w:ind w:left="426" w:hanging="1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6.5. Unieszkodliwianie lub recykling zwierząt padłych lub odpadów zwierzęcych, o wydajności przekraczającej 10 ton dziennie. 6.11. Niezależnie prowadzone oczyszczanie ścieków nieobjętych dyrektywą 91/271/EWG (1), o ile główny ładunek zanieczyszczeń pochodzi z rodzajów działalności objętych niniejszymi konkluzjami dotyczącymi BAT. </w:t>
      </w:r>
    </w:p>
    <w:p w14:paraId="6C631BD7" w14:textId="77777777" w:rsidR="001D7C8E" w:rsidRDefault="001D7C8E" w:rsidP="001D7C8E">
      <w:pPr>
        <w:spacing w:after="0" w:line="240" w:lineRule="auto"/>
        <w:ind w:left="426" w:hanging="1"/>
        <w:jc w:val="both"/>
        <w:rPr>
          <w:rFonts w:ascii="Arial" w:hAnsi="Arial" w:cs="Arial"/>
          <w:sz w:val="24"/>
          <w:szCs w:val="24"/>
        </w:rPr>
      </w:pPr>
    </w:p>
    <w:p w14:paraId="63F93077" w14:textId="69C52536" w:rsidR="001D7C8E" w:rsidRDefault="001D7C8E" w:rsidP="001D7C8E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Niniejsze konkluzje dotyczące BAT obejmują również: </w:t>
      </w:r>
    </w:p>
    <w:p w14:paraId="59509C4A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przetwarzanie produktów ubocznych pochodzenia zwierzęcego i/lub jadalnych produktów ubocznych (takich jak wytapianie, przetapianie tłuszczu, przetwarzanie piór, produkcję mączki rybnej i oleju z ryb, przetwórstwo krwi i produkcję żelatyny) objęte opisem działalności w pkt 6.4 lit. b) </w:t>
      </w:r>
      <w:proofErr w:type="spellStart"/>
      <w:r w:rsidRPr="001D7C8E">
        <w:rPr>
          <w:rFonts w:ascii="Arial" w:hAnsi="Arial" w:cs="Arial"/>
          <w:sz w:val="24"/>
          <w:szCs w:val="24"/>
        </w:rPr>
        <w:t>ppkt</w:t>
      </w:r>
      <w:proofErr w:type="spellEnd"/>
      <w:r w:rsidRPr="001D7C8E">
        <w:rPr>
          <w:rFonts w:ascii="Arial" w:hAnsi="Arial" w:cs="Arial"/>
          <w:sz w:val="24"/>
          <w:szCs w:val="24"/>
        </w:rPr>
        <w:t xml:space="preserve"> (i) lub w pkt 6.5 załącznika I do dyrektywy 2010/75/UE;</w:t>
      </w:r>
    </w:p>
    <w:p w14:paraId="151147DE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spalanie mączki mięsno-kostnej i/lub tłuszczu zwierzęcego; </w:t>
      </w:r>
    </w:p>
    <w:p w14:paraId="06E1369F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spalanie (np. w utleniaczach termicznych lub kotłach parowych) gazów złowonnych (pochodzących z rodzajów działalności objętych niniejszymi konkluzjami dotyczącymi BAT), w tym gazów niekondensujących; </w:t>
      </w:r>
    </w:p>
    <w:p w14:paraId="7CA8013F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spalanie tusz, jeżeli związane bezpośrednio z rodzajami działalności objętymi niniejszymi konkluzjami dotyczącymi BAT; </w:t>
      </w:r>
    </w:p>
    <w:p w14:paraId="36C57EDD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konserwowanie skór i skórek, jeżeli związane bezpośrednio z rodzajami działalności objętymi niniejszymi konkluzjami dotyczącymi BAT; </w:t>
      </w:r>
    </w:p>
    <w:p w14:paraId="17AAFE64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 xml:space="preserve">przetwarzanie osłonek i podrobów (narządy wewnętrzne); </w:t>
      </w:r>
    </w:p>
    <w:p w14:paraId="1D0FF7C2" w14:textId="77777777" w:rsid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lastRenderedPageBreak/>
        <w:t xml:space="preserve">kompostowanie i fermentacja beztlenowa, jeżeli związane bezpośrednio z rodzajami działalności objętymi niniejszymi konkluzjami dotyczącymi BAT; </w:t>
      </w:r>
    </w:p>
    <w:p w14:paraId="1041FFA9" w14:textId="08A07CD6" w:rsidR="001D7C8E" w:rsidRPr="001D7C8E" w:rsidRDefault="001D7C8E" w:rsidP="001D7C8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7C8E">
        <w:rPr>
          <w:rFonts w:ascii="Arial" w:hAnsi="Arial" w:cs="Arial"/>
          <w:sz w:val="24"/>
          <w:szCs w:val="24"/>
        </w:rPr>
        <w:t>mieszane oczyszczanie ścieków różnego pochodzenia, pod warunkiem że główny ładunek zanieczyszczeń pochodzi z rodzajów działalności objętych niniejszymi konkluzjami dotyczącymi BAT, a oczyszczanie ścieków nie jest objęte dyrektywą 91/271/EWG1.</w:t>
      </w:r>
    </w:p>
    <w:p w14:paraId="4AA01EC5" w14:textId="77777777" w:rsidR="000E5922" w:rsidRPr="00A34765" w:rsidRDefault="000E5922" w:rsidP="001D7C8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BC939DD" w14:textId="77777777" w:rsidR="000E5922" w:rsidRPr="00930487" w:rsidRDefault="000E5922" w:rsidP="000E5922">
      <w:pPr>
        <w:ind w:firstLine="708"/>
        <w:jc w:val="both"/>
        <w:rPr>
          <w:rFonts w:ascii="Arial" w:eastAsia="Calibri" w:hAnsi="Arial" w:cs="Arial"/>
          <w:sz w:val="24"/>
        </w:rPr>
      </w:pPr>
      <w:r w:rsidRPr="00930487">
        <w:rPr>
          <w:rFonts w:ascii="Arial" w:eastAsia="Calibri" w:hAnsi="Arial" w:cs="Arial"/>
          <w:sz w:val="24"/>
        </w:rPr>
        <w:t>Porównanie warunków pozwolenia zintegrowanego z najlepszymi dostępnymi technikami opisanymi w konkluzjach BAT oraz określonymi w nich wielkościami emisji.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6821"/>
        <w:gridCol w:w="4484"/>
      </w:tblGrid>
      <w:tr w:rsidR="00A34765" w:rsidRPr="00A34765" w14:paraId="5910C826" w14:textId="77777777" w:rsidTr="007621E3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71BDCC5E" w14:textId="77777777" w:rsidR="000E5922" w:rsidRPr="00B70E40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0E40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56205F" w14:textId="77777777" w:rsidR="000E5922" w:rsidRPr="00B70E40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0E40">
              <w:rPr>
                <w:rFonts w:ascii="Arial" w:hAnsi="Arial" w:cs="Arial"/>
                <w:b/>
                <w:sz w:val="24"/>
              </w:rPr>
              <w:t>Konkluzje BAT</w:t>
            </w:r>
          </w:p>
        </w:tc>
        <w:tc>
          <w:tcPr>
            <w:tcW w:w="6821" w:type="dxa"/>
            <w:shd w:val="clear" w:color="auto" w:fill="D9D9D9" w:themeFill="background1" w:themeFillShade="D9"/>
            <w:vAlign w:val="center"/>
          </w:tcPr>
          <w:p w14:paraId="1824977C" w14:textId="77777777" w:rsidR="000E5922" w:rsidRPr="00B70E40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70E40">
              <w:rPr>
                <w:rFonts w:ascii="Arial" w:hAnsi="Arial" w:cs="Arial"/>
                <w:b/>
                <w:szCs w:val="24"/>
              </w:rPr>
              <w:t>Metoda/technika stosowana w instalacji</w:t>
            </w:r>
          </w:p>
        </w:tc>
        <w:tc>
          <w:tcPr>
            <w:tcW w:w="4484" w:type="dxa"/>
            <w:shd w:val="clear" w:color="auto" w:fill="D9D9D9" w:themeFill="background1" w:themeFillShade="D9"/>
            <w:vAlign w:val="center"/>
          </w:tcPr>
          <w:p w14:paraId="4ED421A6" w14:textId="77777777" w:rsidR="000E5922" w:rsidRPr="00930487" w:rsidRDefault="000E5922" w:rsidP="00BF25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0487">
              <w:rPr>
                <w:rFonts w:ascii="Arial" w:hAnsi="Arial" w:cs="Arial"/>
                <w:b/>
                <w:szCs w:val="24"/>
              </w:rPr>
              <w:t xml:space="preserve">Spełnia/ nie spełnia warunków określonych </w:t>
            </w:r>
          </w:p>
          <w:p w14:paraId="3B1BC096" w14:textId="77777777" w:rsidR="000E5922" w:rsidRPr="00930487" w:rsidRDefault="000E5922" w:rsidP="00BF254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30487">
              <w:rPr>
                <w:rFonts w:ascii="Arial" w:hAnsi="Arial" w:cs="Arial"/>
                <w:b/>
                <w:szCs w:val="24"/>
              </w:rPr>
              <w:t>w konkluzjach BAT.</w:t>
            </w:r>
          </w:p>
          <w:p w14:paraId="32B807D2" w14:textId="77777777" w:rsidR="000E5922" w:rsidRPr="00930487" w:rsidRDefault="000E5922" w:rsidP="00BF254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30487">
              <w:rPr>
                <w:rFonts w:ascii="Arial" w:hAnsi="Arial" w:cs="Arial"/>
                <w:b/>
                <w:szCs w:val="24"/>
              </w:rPr>
              <w:t>Propozycja dostosowania</w:t>
            </w:r>
          </w:p>
        </w:tc>
      </w:tr>
      <w:tr w:rsidR="00A34765" w:rsidRPr="00A34765" w14:paraId="203824A5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73DB30DE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EEB766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</w:t>
            </w:r>
          </w:p>
        </w:tc>
        <w:tc>
          <w:tcPr>
            <w:tcW w:w="6821" w:type="dxa"/>
          </w:tcPr>
          <w:p w14:paraId="72FE9C8B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CC86E31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33F2A394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24E2956D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8B3504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</w:t>
            </w:r>
          </w:p>
        </w:tc>
        <w:tc>
          <w:tcPr>
            <w:tcW w:w="6821" w:type="dxa"/>
          </w:tcPr>
          <w:p w14:paraId="2E7D99B2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37E00D5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06A650DC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7E7A2114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404F0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3</w:t>
            </w:r>
          </w:p>
        </w:tc>
        <w:tc>
          <w:tcPr>
            <w:tcW w:w="6821" w:type="dxa"/>
          </w:tcPr>
          <w:p w14:paraId="684E2AA6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9C71CBD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7CA0FAC9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3578C55D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385886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4</w:t>
            </w:r>
          </w:p>
        </w:tc>
        <w:tc>
          <w:tcPr>
            <w:tcW w:w="6821" w:type="dxa"/>
          </w:tcPr>
          <w:p w14:paraId="0DA9016C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7A83FB6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63DF7138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46C1F0C6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3EAA3C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5</w:t>
            </w:r>
          </w:p>
        </w:tc>
        <w:tc>
          <w:tcPr>
            <w:tcW w:w="6821" w:type="dxa"/>
          </w:tcPr>
          <w:p w14:paraId="14156C28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4E30264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1C74109B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0E0768B5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48A8CB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6</w:t>
            </w:r>
          </w:p>
        </w:tc>
        <w:tc>
          <w:tcPr>
            <w:tcW w:w="6821" w:type="dxa"/>
          </w:tcPr>
          <w:p w14:paraId="778040B2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E3EDB69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32AC2BD3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2BADCC66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872079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7</w:t>
            </w:r>
          </w:p>
        </w:tc>
        <w:tc>
          <w:tcPr>
            <w:tcW w:w="6821" w:type="dxa"/>
          </w:tcPr>
          <w:p w14:paraId="6BF59D5E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8A31011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02D95B70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121A1AB7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7FA8E3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8</w:t>
            </w:r>
          </w:p>
        </w:tc>
        <w:tc>
          <w:tcPr>
            <w:tcW w:w="6821" w:type="dxa"/>
          </w:tcPr>
          <w:p w14:paraId="527ECE1A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65B599C7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761AB1E4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679579A1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67FA31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9</w:t>
            </w:r>
          </w:p>
        </w:tc>
        <w:tc>
          <w:tcPr>
            <w:tcW w:w="6821" w:type="dxa"/>
          </w:tcPr>
          <w:p w14:paraId="6BF61F70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20EC6B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31675DB7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79275CAE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1B6BEE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10</w:t>
            </w:r>
          </w:p>
        </w:tc>
        <w:tc>
          <w:tcPr>
            <w:tcW w:w="6821" w:type="dxa"/>
          </w:tcPr>
          <w:p w14:paraId="150878E2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1122D7A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15A101A7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6582F864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800189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11</w:t>
            </w:r>
          </w:p>
        </w:tc>
        <w:tc>
          <w:tcPr>
            <w:tcW w:w="6821" w:type="dxa"/>
          </w:tcPr>
          <w:p w14:paraId="05C7C7D4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C49C896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47D68A0E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5CC9315E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77CADA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12</w:t>
            </w:r>
          </w:p>
        </w:tc>
        <w:tc>
          <w:tcPr>
            <w:tcW w:w="6821" w:type="dxa"/>
          </w:tcPr>
          <w:p w14:paraId="67ADCFA8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2043E4B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7FE52822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0C7B0784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DC10EB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13</w:t>
            </w:r>
          </w:p>
        </w:tc>
        <w:tc>
          <w:tcPr>
            <w:tcW w:w="6821" w:type="dxa"/>
          </w:tcPr>
          <w:p w14:paraId="2381E987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9E8B7EF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282F9B81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1541982A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7747D2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14</w:t>
            </w:r>
          </w:p>
        </w:tc>
        <w:tc>
          <w:tcPr>
            <w:tcW w:w="6821" w:type="dxa"/>
          </w:tcPr>
          <w:p w14:paraId="4B0AFE7B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FD1A18D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5D4B7A91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456D7250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C747B9" w14:textId="77777777" w:rsidR="000E5922" w:rsidRPr="00B70E40" w:rsidRDefault="000E5922" w:rsidP="00BF25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15</w:t>
            </w:r>
          </w:p>
        </w:tc>
        <w:tc>
          <w:tcPr>
            <w:tcW w:w="6821" w:type="dxa"/>
          </w:tcPr>
          <w:p w14:paraId="021743D3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5191B14B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01547397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33A9E1DF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4AEFA5" w14:textId="77777777" w:rsidR="000E5922" w:rsidRPr="00B70E40" w:rsidRDefault="000E5922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 w:rsidR="00EB41A0" w:rsidRPr="00B70E4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6821" w:type="dxa"/>
          </w:tcPr>
          <w:p w14:paraId="30D8594B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6E66F9B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6E3D832C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1FE31916" w14:textId="77777777" w:rsidR="000E5922" w:rsidRPr="00B70E40" w:rsidRDefault="000E5922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46216E" w14:textId="77777777" w:rsidR="000E5922" w:rsidRPr="00B70E40" w:rsidRDefault="000E5922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 xml:space="preserve">BAT </w:t>
            </w:r>
            <w:r w:rsidR="00EB41A0" w:rsidRPr="00B70E40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821" w:type="dxa"/>
          </w:tcPr>
          <w:p w14:paraId="2B7D6665" w14:textId="77777777" w:rsidR="000E5922" w:rsidRPr="00B70E40" w:rsidRDefault="000E5922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4CE025E" w14:textId="77777777" w:rsidR="000E5922" w:rsidRPr="00A34765" w:rsidRDefault="000E5922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7D52BEC3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48DE2393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078A29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18</w:t>
            </w:r>
          </w:p>
        </w:tc>
        <w:tc>
          <w:tcPr>
            <w:tcW w:w="6821" w:type="dxa"/>
          </w:tcPr>
          <w:p w14:paraId="754BEC81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7CBD181B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65EE7BE7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6A6D41E3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8595D3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19</w:t>
            </w:r>
          </w:p>
        </w:tc>
        <w:tc>
          <w:tcPr>
            <w:tcW w:w="6821" w:type="dxa"/>
          </w:tcPr>
          <w:p w14:paraId="2BD1C33A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293B606A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5E9AE4E9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09142C01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E8E918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20</w:t>
            </w:r>
          </w:p>
        </w:tc>
        <w:tc>
          <w:tcPr>
            <w:tcW w:w="6821" w:type="dxa"/>
          </w:tcPr>
          <w:p w14:paraId="3343298B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329D7B96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3E2EC492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774C9A0E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BEFC01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21</w:t>
            </w:r>
          </w:p>
        </w:tc>
        <w:tc>
          <w:tcPr>
            <w:tcW w:w="6821" w:type="dxa"/>
          </w:tcPr>
          <w:p w14:paraId="49D68203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5468A27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2B79DC22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2337FD0B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F346F8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22</w:t>
            </w:r>
          </w:p>
        </w:tc>
        <w:tc>
          <w:tcPr>
            <w:tcW w:w="6821" w:type="dxa"/>
          </w:tcPr>
          <w:p w14:paraId="50F665DE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7AEE452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71815A2C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7CFEBC9F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970969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23</w:t>
            </w:r>
          </w:p>
        </w:tc>
        <w:tc>
          <w:tcPr>
            <w:tcW w:w="6821" w:type="dxa"/>
          </w:tcPr>
          <w:p w14:paraId="6450DF7A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0D9A3F76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79D26F76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0A6D2EB1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A4F493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24</w:t>
            </w:r>
          </w:p>
        </w:tc>
        <w:tc>
          <w:tcPr>
            <w:tcW w:w="6821" w:type="dxa"/>
          </w:tcPr>
          <w:p w14:paraId="68476EB0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176E3420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34765" w:rsidRPr="00A34765" w14:paraId="48CA3BD7" w14:textId="77777777" w:rsidTr="007621E3">
        <w:trPr>
          <w:trHeight w:val="1757"/>
        </w:trPr>
        <w:tc>
          <w:tcPr>
            <w:tcW w:w="846" w:type="dxa"/>
            <w:vAlign w:val="center"/>
          </w:tcPr>
          <w:p w14:paraId="190AF8C8" w14:textId="77777777" w:rsidR="00EB41A0" w:rsidRPr="00B70E40" w:rsidRDefault="00EB41A0" w:rsidP="000E592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F6CE52" w14:textId="77777777" w:rsidR="00EB41A0" w:rsidRPr="00B70E40" w:rsidRDefault="00EB41A0" w:rsidP="004A24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0E40">
              <w:rPr>
                <w:rFonts w:ascii="Arial" w:hAnsi="Arial" w:cs="Arial"/>
                <w:b/>
                <w:sz w:val="24"/>
                <w:szCs w:val="24"/>
              </w:rPr>
              <w:t>BAT 25</w:t>
            </w:r>
          </w:p>
        </w:tc>
        <w:tc>
          <w:tcPr>
            <w:tcW w:w="6821" w:type="dxa"/>
          </w:tcPr>
          <w:p w14:paraId="1B560C70" w14:textId="77777777" w:rsidR="00EB41A0" w:rsidRPr="00B70E40" w:rsidRDefault="00EB41A0" w:rsidP="00BF25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4" w:type="dxa"/>
          </w:tcPr>
          <w:p w14:paraId="4F27E6B3" w14:textId="77777777" w:rsidR="00EB41A0" w:rsidRPr="00A34765" w:rsidRDefault="00EB41A0" w:rsidP="00BF254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B972DBE" w14:textId="77777777" w:rsidR="002D67C2" w:rsidRPr="00A34765" w:rsidRDefault="002D67C2">
      <w:pPr>
        <w:rPr>
          <w:color w:val="FF0000"/>
        </w:rPr>
      </w:pPr>
    </w:p>
    <w:sectPr w:rsidR="002D67C2" w:rsidRPr="00A34765" w:rsidSect="00CB5AF9">
      <w:pgSz w:w="16838" w:h="11906" w:orient="landscape"/>
      <w:pgMar w:top="1134" w:right="1245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441"/>
    <w:multiLevelType w:val="hybridMultilevel"/>
    <w:tmpl w:val="890E7CF2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1F26"/>
    <w:multiLevelType w:val="hybridMultilevel"/>
    <w:tmpl w:val="37925264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18D9"/>
    <w:multiLevelType w:val="hybridMultilevel"/>
    <w:tmpl w:val="08A6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A3CAB"/>
    <w:multiLevelType w:val="hybridMultilevel"/>
    <w:tmpl w:val="58BC8624"/>
    <w:lvl w:ilvl="0" w:tplc="C6DC646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AE60C62"/>
    <w:multiLevelType w:val="hybridMultilevel"/>
    <w:tmpl w:val="998C0A2E"/>
    <w:lvl w:ilvl="0" w:tplc="C6DC6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92BBD"/>
    <w:multiLevelType w:val="hybridMultilevel"/>
    <w:tmpl w:val="799E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0A7"/>
    <w:rsid w:val="00026FF9"/>
    <w:rsid w:val="00085D99"/>
    <w:rsid w:val="000B5FDC"/>
    <w:rsid w:val="000E08A9"/>
    <w:rsid w:val="000E5922"/>
    <w:rsid w:val="001001E5"/>
    <w:rsid w:val="00101379"/>
    <w:rsid w:val="001D7C8E"/>
    <w:rsid w:val="002D67C2"/>
    <w:rsid w:val="003170A7"/>
    <w:rsid w:val="003760B1"/>
    <w:rsid w:val="004A24FE"/>
    <w:rsid w:val="004D5054"/>
    <w:rsid w:val="00534568"/>
    <w:rsid w:val="005E7C43"/>
    <w:rsid w:val="00734B61"/>
    <w:rsid w:val="007621E3"/>
    <w:rsid w:val="00901993"/>
    <w:rsid w:val="00930487"/>
    <w:rsid w:val="00961A8C"/>
    <w:rsid w:val="009F5A3A"/>
    <w:rsid w:val="00A34765"/>
    <w:rsid w:val="00A65B51"/>
    <w:rsid w:val="00AD7099"/>
    <w:rsid w:val="00B70E40"/>
    <w:rsid w:val="00CB5AF9"/>
    <w:rsid w:val="00D81B5D"/>
    <w:rsid w:val="00DA6E5C"/>
    <w:rsid w:val="00DF7C32"/>
    <w:rsid w:val="00EB41A0"/>
    <w:rsid w:val="00ED50B1"/>
    <w:rsid w:val="00EE6C2B"/>
    <w:rsid w:val="00F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7EDE"/>
  <w15:docId w15:val="{D17C0ECE-01C7-4DDC-8FEE-9A6735E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9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92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21E3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50B1"/>
    <w:rPr>
      <w:color w:val="0000FF"/>
      <w:u w:val="single"/>
    </w:rPr>
  </w:style>
  <w:style w:type="character" w:customStyle="1" w:styleId="text-justify">
    <w:name w:val="text-justify"/>
    <w:basedOn w:val="Domylnaczcionkaakapitu"/>
    <w:rsid w:val="00ED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Dymerska</dc:creator>
  <cp:keywords/>
  <dc:description/>
  <cp:lastModifiedBy>Edyta Owczarek (Dymerska)</cp:lastModifiedBy>
  <cp:revision>8</cp:revision>
  <dcterms:created xsi:type="dcterms:W3CDTF">2023-01-16T13:27:00Z</dcterms:created>
  <dcterms:modified xsi:type="dcterms:W3CDTF">2024-02-21T10:47:00Z</dcterms:modified>
</cp:coreProperties>
</file>